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theme/theme1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customXml/item3.xml" ContentType="application/xml"/>
  <Override PartName="/customXml/itemProps31.xml" ContentType="application/vnd.openxmlformats-officedocument.customXmlProperties+xml"/>
  <Override PartName="/word/footnotes.xml" ContentType="application/vnd.openxmlformats-officedocument.wordprocessingml.footnotes+xml"/>
  <Override PartName="/customXml/item22.xml" ContentType="application/xml"/>
  <Override PartName="/customXml/itemProps22.xml" ContentType="application/vnd.openxmlformats-officedocument.customXmlProperties+xml"/>
  <Override PartName="/word/webSettings.xml" ContentType="application/vnd.openxmlformats-officedocument.wordprocessingml.webSettings+xml"/>
  <Override PartName="/customXml/item13.xml" ContentType="application/xml"/>
  <Override PartName="/customXml/itemProps1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5" /><Relationship Type="http://schemas.microsoft.com/office/2020/02/relationships/classificationlabels" Target="docMetadata/LabelInfo.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sdtfl="http://schemas.microsoft.com/office/word/2024/wordml/sdtformatlock" mc:Ignorable="w14 w15 w16se w16cid w16 w16cex w16sdtdh w16du wp14 w16sdtfl">
  <w:body>
    <w:tbl>
      <w:tblPr>
        <w:tblW w:w="10080" w:type="dxa"/>
        <w:tblCellMar>
          <w:top w:w="216" w:type="dxa"/>
          <w:left w:w="0" w:type="dxa"/>
          <w:bottom w:w="216" w:type="dxa"/>
          <w:right w:w="0" w:type="dxa"/>
        </w:tblCellMar>
        <w:tblLook w:val="0600" w:firstRow="0" w:lastRow="0" w:firstColumn="0" w:lastColumn="0" w:noHBand="1" w:noVBand="1"/>
      </w:tblPr>
      <w:tblGrid>
        <w:gridCol w:w="3360"/>
        <w:gridCol w:w="3360"/>
        <w:gridCol w:w="3360"/>
      </w:tblGrid>
      <w:tr w:rsidR="000930DE" w:rsidTr="7FEEDFAD" w14:paraId="340A693A" w14:textId="3A752702">
        <w:trPr>
          <w:trHeight w:val="1224"/>
        </w:trPr>
        <w:tc>
          <w:tcPr>
            <w:tcW w:w="6720" w:type="dxa"/>
            <w:gridSpan w:val="2"/>
            <w:tcBorders>
              <w:bottom w:val="single" w:color="ACA8AA" w:themeColor="accent4" w:sz="24" w:space="0"/>
            </w:tcBorders>
            <w:tcMar/>
            <w:vAlign w:val="bottom"/>
          </w:tcPr>
          <w:p w:rsidRPr="00CC2921" w:rsidR="000930DE" w:rsidP="61093596" w:rsidRDefault="1AD6EC65" w14:paraId="3AF19DB3" w14:noSpellErr="1" w14:textId="1C09B77A">
            <w:pPr>
              <w:pStyle w:val="Title"/>
              <w:rPr>
                <w:sz w:val="52"/>
                <w:szCs w:val="52"/>
              </w:rPr>
            </w:pPr>
            <w:r w:rsidRPr="61093596" w:rsidR="2FCF3217">
              <w:rPr>
                <w:sz w:val="52"/>
                <w:szCs w:val="52"/>
              </w:rPr>
              <w:t>Ram</w:t>
            </w:r>
          </w:p>
          <w:p w:rsidRPr="00CC2921" w:rsidR="000930DE" w:rsidP="61093596" w:rsidRDefault="1AD6EC65" w14:paraId="623BB7E3" w14:noSpellErr="1" w14:textId="11E561B0">
            <w:pPr>
              <w:pStyle w:val="Subtitle"/>
              <w:rPr>
                <w:sz w:val="52"/>
                <w:szCs w:val="52"/>
              </w:rPr>
            </w:pPr>
            <w:r w:rsidRPr="61093596" w:rsidR="75004434">
              <w:rPr>
                <w:sz w:val="52"/>
                <w:szCs w:val="52"/>
              </w:rPr>
              <w:t>Samineni</w:t>
            </w:r>
          </w:p>
        </w:tc>
        <w:tc>
          <w:tcPr>
            <w:tcW w:w="3360" w:type="dxa"/>
            <w:tcBorders>
              <w:bottom w:val="single" w:color="ACA8AA" w:themeColor="accent4" w:sz="24" w:space="0"/>
            </w:tcBorders>
            <w:tcMar/>
            <w:vAlign w:val="bottom"/>
          </w:tcPr>
          <w:p w:rsidRPr="00EA604D" w:rsidR="000930DE" w:rsidP="00CC2921" w:rsidRDefault="00CC2921" w14:noSpellErr="1" w14:paraId="33402440" w14:textId="3ECD555B">
            <w:pPr>
              <w:pStyle w:val="ContactInfo"/>
            </w:pPr>
            <w:r w:rsidR="75004434">
              <w:rPr/>
              <w:t>716.658.1193</w:t>
            </w:r>
          </w:p>
          <w:p w:rsidRPr="00EA604D" w:rsidR="000930DE" w:rsidP="00CC2921" w:rsidRDefault="00CC2921" w14:paraId="79B17397" w14:textId="37909E24">
            <w:pPr>
              <w:pStyle w:val="ContactInfo"/>
            </w:pPr>
            <w:r w:rsidR="00CC2921">
              <w:rPr/>
              <w:t xml:space="preserve"> </w:t>
            </w:r>
            <w:hyperlink r:id="Raf264168d8754a6d">
              <w:r w:rsidRPr="61093596" w:rsidR="4A3ADBCE">
                <w:rPr>
                  <w:rStyle w:val="Hyperlink"/>
                </w:rPr>
                <w:t>ram.samineni66@gmail</w:t>
              </w:r>
              <w:r w:rsidRPr="61093596" w:rsidR="00CC2921">
                <w:rPr>
                  <w:rStyle w:val="Hyperlink"/>
                </w:rPr>
                <w:t>.com</w:t>
              </w:r>
            </w:hyperlink>
          </w:p>
          <w:p w:rsidRPr="00EA604D" w:rsidR="000930DE" w:rsidP="00CC2921" w:rsidRDefault="00CC2921" w14:paraId="60736C6A" w14:textId="3D412630">
            <w:pPr>
              <w:pStyle w:val="ContactInfo"/>
            </w:pPr>
            <w:r w:rsidRPr="61093596" w:rsidR="73FDA016">
              <w:rPr>
                <w:rFonts w:ascii="Helvetica" w:hAnsi="Helvetica" w:eastAsia="Helvetica" w:cs="Helvetica"/>
                <w:b w:val="0"/>
                <w:bCs w:val="0"/>
                <w:i w:val="0"/>
                <w:iCs w:val="0"/>
                <w:noProof w:val="0"/>
                <w:color w:val="000000" w:themeColor="text1" w:themeTint="FF" w:themeShade="FF"/>
                <w:sz w:val="18"/>
                <w:szCs w:val="18"/>
                <w:lang w:val="en-US"/>
              </w:rPr>
              <w:t>linkedin.com/in/ram-samineni-214758191/</w:t>
            </w:r>
            <w:r w:rsidRPr="61093596" w:rsidR="73FDA016">
              <w:rPr>
                <w:sz w:val="18"/>
                <w:szCs w:val="18"/>
              </w:rPr>
              <w:t xml:space="preserve"> </w:t>
            </w:r>
          </w:p>
        </w:tc>
      </w:tr>
      <w:tr w:rsidR="000930DE" w:rsidTr="7FEEDFAD" w14:paraId="45DF6A00" w14:textId="471301CA">
        <w:trPr>
          <w:trHeight w:val="675"/>
        </w:trPr>
        <w:tc>
          <w:tcPr>
            <w:tcW w:w="10080" w:type="dxa"/>
            <w:gridSpan w:val="3"/>
            <w:tcBorders>
              <w:top w:val="single" w:color="ACA8AA" w:themeColor="accent4" w:sz="24" w:space="0"/>
              <w:bottom w:val="single" w:color="ACA8AA" w:themeColor="accent4" w:sz="24" w:space="0"/>
            </w:tcBorders>
            <w:tcMar/>
          </w:tcPr>
          <w:p w:rsidR="000930DE" w:rsidP="7FEEDFAD" w:rsidRDefault="00CC2921" w14:paraId="00B18CDF" w14:textId="244C8317">
            <w:pPr>
              <w:pStyle w:val="Normal"/>
              <w:spacing w:before="0" w:beforeAutospacing="off" w:after="0" w:afterAutospacing="off"/>
              <w:jc w:val="both"/>
              <w:rPr>
                <w:noProof w:val="0"/>
                <w:lang w:val="en-US"/>
              </w:rPr>
            </w:pPr>
            <w:r w:rsidRPr="7FEEDFAD" w:rsidR="77C2E8E8">
              <w:rPr>
                <w:rFonts w:ascii="Gill Sans MT" w:hAnsi="Gill Sans MT" w:eastAsia="Gill Sans MT" w:cs="Gill Sans MT"/>
                <w:noProof w:val="0"/>
                <w:sz w:val="20"/>
                <w:szCs w:val="20"/>
                <w:lang w:val="en-US"/>
              </w:rPr>
              <w:t xml:space="preserve">A seasoned DevOps and Cloud Consultant with deep </w:t>
            </w:r>
            <w:r w:rsidRPr="7FEEDFAD" w:rsidR="77C2E8E8">
              <w:rPr>
                <w:rFonts w:ascii="Gill Sans MT" w:hAnsi="Gill Sans MT" w:eastAsia="Gill Sans MT" w:cs="Gill Sans MT"/>
                <w:noProof w:val="0"/>
                <w:sz w:val="20"/>
                <w:szCs w:val="20"/>
                <w:lang w:val="en-US"/>
              </w:rPr>
              <w:t>expertise</w:t>
            </w:r>
            <w:r w:rsidRPr="7FEEDFAD" w:rsidR="77C2E8E8">
              <w:rPr>
                <w:rFonts w:ascii="Gill Sans MT" w:hAnsi="Gill Sans MT" w:eastAsia="Gill Sans MT" w:cs="Gill Sans MT"/>
                <w:noProof w:val="0"/>
                <w:sz w:val="20"/>
                <w:szCs w:val="20"/>
                <w:lang w:val="en-US"/>
              </w:rPr>
              <w:t xml:space="preserve"> in migrating complex </w:t>
            </w:r>
            <w:r w:rsidRPr="7FEEDFAD" w:rsidR="77C2E8E8">
              <w:rPr>
                <w:rFonts w:ascii="Gill Sans MT" w:hAnsi="Gill Sans MT" w:eastAsia="Gill Sans MT" w:cs="Gill Sans MT"/>
                <w:noProof w:val="0"/>
                <w:sz w:val="20"/>
                <w:szCs w:val="20"/>
                <w:lang w:val="en-US"/>
              </w:rPr>
              <w:t>on-premise</w:t>
            </w:r>
            <w:r w:rsidRPr="7FEEDFAD" w:rsidR="77C2E8E8">
              <w:rPr>
                <w:rFonts w:ascii="Gill Sans MT" w:hAnsi="Gill Sans MT" w:eastAsia="Gill Sans MT" w:cs="Gill Sans MT"/>
                <w:noProof w:val="0"/>
                <w:sz w:val="20"/>
                <w:szCs w:val="20"/>
                <w:lang w:val="en-US"/>
              </w:rPr>
              <w:t xml:space="preserve"> workloads to scalable, secure cloud platforms. Specializes in containerization, microservices modernization, and building highly automated CI/CD pipelines that accelerate delivery and reduce operational friction. Experienced in implementing cloud-native architectures and end-to-end infrastructure automation across AWS, Azure, and GCP. </w:t>
            </w:r>
            <w:r w:rsidRPr="7FEEDFAD" w:rsidR="77C2E8E8">
              <w:rPr>
                <w:rFonts w:ascii="Gill Sans MT" w:hAnsi="Gill Sans MT" w:eastAsia="Gill Sans MT" w:cs="Gill Sans MT"/>
                <w:noProof w:val="0"/>
                <w:sz w:val="20"/>
                <w:szCs w:val="20"/>
                <w:lang w:val="en-US"/>
              </w:rPr>
              <w:t>Brings</w:t>
            </w:r>
            <w:r w:rsidRPr="7FEEDFAD" w:rsidR="77C2E8E8">
              <w:rPr>
                <w:rFonts w:ascii="Gill Sans MT" w:hAnsi="Gill Sans MT" w:eastAsia="Gill Sans MT" w:cs="Gill Sans MT"/>
                <w:noProof w:val="0"/>
                <w:sz w:val="20"/>
                <w:szCs w:val="20"/>
                <w:lang w:val="en-US"/>
              </w:rPr>
              <w:t xml:space="preserve"> strong SRE practices to ensure reliability, performance, and cost-efficient operations for enterprise environments.</w:t>
            </w:r>
          </w:p>
          <w:p w:rsidR="732A1B7C" w:rsidP="732A1B7C" w:rsidRDefault="732A1B7C" w14:paraId="421A092E" w14:noSpellErr="1" w14:textId="48D4A333">
            <w:pPr>
              <w:pStyle w:val="Normal"/>
            </w:pPr>
          </w:p>
          <w:tbl>
            <w:tblPr>
              <w:tblW w:w="0" w:type="auto"/>
              <w:tblLook w:val="0600" w:firstRow="0" w:lastRow="0" w:firstColumn="0" w:lastColumn="0" w:noHBand="1" w:noVBand="1"/>
            </w:tblPr>
            <w:tblGrid>
              <w:gridCol w:w="5040"/>
              <w:gridCol w:w="5040"/>
            </w:tblGrid>
            <w:tr w:rsidR="61093596" w:rsidTr="7FEEDFAD" w14:paraId="1E1F139F">
              <w:trPr>
                <w:trHeight w:val="732"/>
              </w:trPr>
              <w:tc>
                <w:tcPr>
                  <w:tcW w:w="10080" w:type="dxa"/>
                  <w:gridSpan w:val="2"/>
                  <w:tcBorders>
                    <w:top w:val="single" w:color="ACA8AA" w:themeColor="accent4" w:sz="24"/>
                  </w:tcBorders>
                  <w:tcMar/>
                </w:tcPr>
                <w:p w:rsidR="61093596" w:rsidP="61093596" w:rsidRDefault="61093596" w14:noSpellErr="1" w14:paraId="4A2AA914" w14:textId="22263C45">
                  <w:pPr>
                    <w:pStyle w:val="Heading1"/>
                  </w:pPr>
                  <w:r w:rsidR="61093596">
                    <w:rPr/>
                    <w:t>Skills</w:t>
                  </w:r>
                </w:p>
                <w:p w:rsidR="61093596" w:rsidP="61093596" w:rsidRDefault="61093596" w14:paraId="78C9B284" w14:textId="7F16ADCC">
                  <w:pPr>
                    <w:pStyle w:val="Normal"/>
                  </w:pPr>
                </w:p>
                <w:p w:rsidR="5C746BD6" w:rsidP="61093596" w:rsidRDefault="5C746BD6" w14:paraId="6238AF6F" w14:textId="0ECF103E">
                  <w:pPr>
                    <w:spacing w:before="0" w:beforeAutospacing="off" w:after="0" w:afterAutospacing="off"/>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pPr>
                  <w:r w:rsidRPr="61093596" w:rsidR="5C746BD6">
                    <w:rPr>
                      <w:rFonts w:ascii="Gill Sans MT" w:hAnsi="Gill Sans MT" w:eastAsia="Gill Sans MT" w:cs="" w:asciiTheme="minorAscii" w:hAnsiTheme="minorAscii" w:eastAsiaTheme="minorAscii" w:cstheme="minorBidi"/>
                      <w:b w:val="1"/>
                      <w:bCs w:val="1"/>
                      <w:noProof w:val="0"/>
                      <w:color w:val="404040" w:themeColor="text1" w:themeTint="BF" w:themeShade="FF"/>
                      <w:sz w:val="20"/>
                      <w:szCs w:val="20"/>
                      <w:lang w:val="en-US" w:eastAsia="en-US" w:bidi="ar-SA"/>
                    </w:rPr>
                    <w:t>Programming Languages and Frameworks:</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 xml:space="preserve"> Python, Flask, </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FastAPI</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 xml:space="preserve">, Next.js, </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LangChain</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 xml:space="preserve">, </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LangGraph</w:t>
                  </w:r>
                </w:p>
                <w:p w:rsidR="5C746BD6" w:rsidP="7FEEDFAD" w:rsidRDefault="5C746BD6" w14:paraId="6152C521" w14:textId="4AAE48FA">
                  <w:pPr>
                    <w:spacing w:before="0" w:beforeAutospacing="off" w:after="0" w:afterAutospacing="off"/>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pPr>
                  <w:r w:rsidRPr="7FEEDFAD" w:rsidR="27AD7F0C">
                    <w:rPr>
                      <w:rFonts w:ascii="Gill Sans MT" w:hAnsi="Gill Sans MT" w:eastAsia="Gill Sans MT" w:cs="" w:asciiTheme="minorAscii" w:hAnsiTheme="minorAscii" w:eastAsiaTheme="minorAscii" w:cstheme="minorBidi"/>
                      <w:b w:val="1"/>
                      <w:bCs w:val="1"/>
                      <w:noProof w:val="0"/>
                      <w:color w:val="000000" w:themeColor="text1" w:themeTint="FF" w:themeShade="FF"/>
                      <w:sz w:val="20"/>
                      <w:szCs w:val="20"/>
                      <w:lang w:val="en-US" w:eastAsia="en-US" w:bidi="ar-SA"/>
                    </w:rPr>
                    <w:t xml:space="preserve">Cloud and Infrastructure: </w:t>
                  </w:r>
                  <w:r w:rsidRPr="7FEEDFAD" w:rsidR="27AD7F0C">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AWS (EC2, S3, IAM, RDS, VPC, Load Balancers, Lambda, EKS, Bedrock), Azure, Azure DevOps, Terraform, Kubernetes, Docker, Helm</w:t>
                  </w:r>
                </w:p>
                <w:p w:rsidR="5C746BD6" w:rsidP="61093596" w:rsidRDefault="5C746BD6" w14:paraId="4AA9AA82" w14:textId="0A6C8E79">
                  <w:pPr>
                    <w:spacing w:before="0" w:beforeAutospacing="off" w:after="0" w:afterAutospacing="off"/>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pPr>
                  <w:r w:rsidRPr="7FEEDFAD" w:rsidR="27AD7F0C">
                    <w:rPr>
                      <w:rFonts w:ascii="Gill Sans MT" w:hAnsi="Gill Sans MT" w:eastAsia="Gill Sans MT" w:cs="" w:asciiTheme="minorAscii" w:hAnsiTheme="minorAscii" w:eastAsiaTheme="minorAscii" w:cstheme="minorBidi"/>
                      <w:b w:val="1"/>
                      <w:bCs w:val="1"/>
                      <w:noProof w:val="0"/>
                      <w:color w:val="000000" w:themeColor="text1" w:themeTint="FF" w:themeShade="FF"/>
                      <w:sz w:val="20"/>
                      <w:szCs w:val="20"/>
                      <w:lang w:val="en-US" w:eastAsia="en-US" w:bidi="ar-SA"/>
                    </w:rPr>
                    <w:t>Data Engineering and Analytics:</w:t>
                  </w:r>
                  <w:r w:rsidRPr="7FEEDFAD" w:rsidR="27AD7F0C">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 xml:space="preserve"> SQL, Snowflake, Data Warehousing, Data Pipelines, Vector Databases,</w:t>
                  </w:r>
                  <w:r w:rsidRPr="7FEEDFAD" w:rsidR="70B8DF33">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 xml:space="preserve"> </w:t>
                  </w:r>
                  <w:r w:rsidRPr="7FEEDFAD" w:rsidR="27AD7F0C">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Databricks,</w:t>
                  </w:r>
                  <w:r w:rsidRPr="7FEEDFAD" w:rsidR="489C4693">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 xml:space="preserve"> </w:t>
                  </w:r>
                  <w:r w:rsidRPr="7FEEDFAD" w:rsidR="27AD7F0C">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AWS Glue</w:t>
                  </w:r>
                </w:p>
                <w:p w:rsidR="5C746BD6" w:rsidP="61093596" w:rsidRDefault="5C746BD6" w14:paraId="0BFAAE81" w14:textId="5FBD7D6C">
                  <w:pPr>
                    <w:spacing w:before="0" w:beforeAutospacing="off" w:after="0" w:afterAutospacing="off"/>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pPr>
                  <w:r w:rsidRPr="61093596" w:rsidR="5C746BD6">
                    <w:rPr>
                      <w:rFonts w:ascii="Gill Sans MT" w:hAnsi="Gill Sans MT" w:eastAsia="Gill Sans MT" w:cs="" w:asciiTheme="minorAscii" w:hAnsiTheme="minorAscii" w:eastAsiaTheme="minorAscii" w:cstheme="minorBidi"/>
                      <w:b w:val="1"/>
                      <w:bCs w:val="1"/>
                      <w:noProof w:val="0"/>
                      <w:color w:val="404040" w:themeColor="text1" w:themeTint="BF" w:themeShade="FF"/>
                      <w:sz w:val="20"/>
                      <w:szCs w:val="20"/>
                      <w:lang w:val="en-US" w:eastAsia="en-US" w:bidi="ar-SA"/>
                    </w:rPr>
                    <w:t xml:space="preserve">APIs and Integrations: </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 xml:space="preserve">RESTful APIs, OpenAI API, </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OpenRouter</w:t>
                  </w:r>
                  <w:r w:rsidRPr="61093596" w:rsidR="5C746BD6">
                    <w:rPr>
                      <w:rFonts w:ascii="Gill Sans MT" w:hAnsi="Gill Sans MT" w:eastAsia="Gill Sans MT" w:cs="" w:asciiTheme="minorAscii" w:hAnsiTheme="minorAscii" w:eastAsiaTheme="minorAscii" w:cstheme="minorBidi"/>
                      <w:noProof w:val="0"/>
                      <w:color w:val="404040" w:themeColor="text1" w:themeTint="BF" w:themeShade="FF"/>
                      <w:sz w:val="20"/>
                      <w:szCs w:val="20"/>
                      <w:lang w:val="en-US" w:eastAsia="en-US" w:bidi="ar-SA"/>
                    </w:rPr>
                    <w:t xml:space="preserve"> API, Webhook Integration</w:t>
                  </w:r>
                </w:p>
                <w:p w:rsidR="5C746BD6" w:rsidP="7FEEDFAD" w:rsidRDefault="5C746BD6" w14:paraId="0A7DFB32" w14:textId="1B1B9D86">
                  <w:pPr>
                    <w:spacing w:before="0" w:beforeAutospacing="off" w:after="0" w:afterAutospacing="off"/>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pPr>
                  <w:r w:rsidRPr="7FEEDFAD" w:rsidR="71488A0E">
                    <w:rPr>
                      <w:rFonts w:ascii="Gill Sans MT" w:hAnsi="Gill Sans MT" w:eastAsia="Gill Sans MT" w:cs="" w:asciiTheme="minorAscii" w:hAnsiTheme="minorAscii" w:eastAsiaTheme="minorAscii" w:cstheme="minorBidi"/>
                      <w:b w:val="1"/>
                      <w:bCs w:val="1"/>
                      <w:noProof w:val="0"/>
                      <w:color w:val="000000" w:themeColor="text1" w:themeTint="FF" w:themeShade="FF"/>
                      <w:sz w:val="20"/>
                      <w:szCs w:val="20"/>
                      <w:lang w:val="en-US" w:eastAsia="en-US" w:bidi="ar-SA"/>
                    </w:rPr>
                    <w:t xml:space="preserve">DevOps and </w:t>
                  </w:r>
                  <w:r w:rsidRPr="7FEEDFAD" w:rsidR="27AD7F0C">
                    <w:rPr>
                      <w:rFonts w:ascii="Gill Sans MT" w:hAnsi="Gill Sans MT" w:eastAsia="Gill Sans MT" w:cs="" w:asciiTheme="minorAscii" w:hAnsiTheme="minorAscii" w:eastAsiaTheme="minorAscii" w:cstheme="minorBidi"/>
                      <w:b w:val="1"/>
                      <w:bCs w:val="1"/>
                      <w:noProof w:val="0"/>
                      <w:color w:val="000000" w:themeColor="text1" w:themeTint="FF" w:themeShade="FF"/>
                      <w:sz w:val="20"/>
                      <w:szCs w:val="20"/>
                      <w:lang w:val="en-US" w:eastAsia="en-US" w:bidi="ar-SA"/>
                    </w:rPr>
                    <w:t xml:space="preserve">Development Tools: </w:t>
                  </w:r>
                  <w:r w:rsidRPr="7FEEDFAD" w:rsidR="52F4C9B0">
                    <w:rPr>
                      <w:rFonts w:ascii="Gill Sans MT" w:hAnsi="Gill Sans MT" w:eastAsia="Gill Sans MT" w:cs="" w:asciiTheme="minorAscii" w:hAnsiTheme="minorAscii" w:eastAsiaTheme="minorAscii" w:cstheme="minorBidi"/>
                      <w:b w:val="1"/>
                      <w:bCs w:val="1"/>
                      <w:noProof w:val="0"/>
                      <w:color w:val="000000" w:themeColor="text1" w:themeTint="FF" w:themeShade="FF"/>
                      <w:sz w:val="20"/>
                      <w:szCs w:val="20"/>
                      <w:lang w:val="en-US" w:eastAsia="en-US" w:bidi="ar-SA"/>
                    </w:rPr>
                    <w:t xml:space="preserve">Jenkins, </w:t>
                  </w:r>
                  <w:r w:rsidRPr="7FEEDFAD" w:rsidR="27AD7F0C">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Git, GitHub Actions, Azure DevOps,</w:t>
                  </w:r>
                  <w:r w:rsidRPr="7FEEDFAD" w:rsidR="6FEF36E9">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 xml:space="preserve"> Git Lab,</w:t>
                  </w:r>
                  <w:r w:rsidRPr="7FEEDFAD" w:rsidR="27AD7F0C">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 xml:space="preserve"> CI/CD Pipelines, Containerization, Microser</w:t>
                  </w:r>
                  <w:r w:rsidRPr="7FEEDFAD" w:rsidR="27AD7F0C">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vices</w:t>
                  </w:r>
                  <w:r w:rsidRPr="7FEEDFAD" w:rsidR="567E3B9B">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 xml:space="preserve"> </w:t>
                  </w:r>
                  <w:r w:rsidRPr="7FEEDFAD" w:rsidR="27AD7F0C">
                    <w:rPr>
                      <w:rFonts w:ascii="Gill Sans MT" w:hAnsi="Gill Sans MT" w:eastAsia="Gill Sans MT" w:cs="" w:asciiTheme="minorAscii" w:hAnsiTheme="minorAscii" w:eastAsiaTheme="minorAscii" w:cstheme="minorBidi"/>
                      <w:noProof w:val="0"/>
                      <w:color w:val="000000" w:themeColor="text1" w:themeTint="FF" w:themeShade="FF"/>
                      <w:sz w:val="20"/>
                      <w:szCs w:val="20"/>
                      <w:lang w:val="en-US" w:eastAsia="en-US" w:bidi="ar-SA"/>
                    </w:rPr>
                    <w:t>Architecture</w:t>
                  </w:r>
                </w:p>
              </w:tc>
            </w:tr>
          </w:tbl>
          <w:p w:rsidR="000930DE" w:rsidP="61093596" w:rsidRDefault="00CC2921" w14:paraId="73225DF9" w14:noSpellErr="1" w14:textId="490E21CF">
            <w:pPr>
              <w:pStyle w:val="Normal"/>
            </w:pPr>
          </w:p>
        </w:tc>
      </w:tr>
      <w:tr w:rsidR="004D4E50" w:rsidTr="7FEEDFAD" w14:paraId="7DD79597" w14:textId="087C16E4">
        <w:trPr>
          <w:trHeight w:val="1584"/>
        </w:trPr>
        <w:tc>
          <w:tcPr>
            <w:tcW w:w="10080" w:type="dxa"/>
            <w:gridSpan w:val="3"/>
            <w:tcBorders>
              <w:top w:val="single" w:color="ACA8AA" w:themeColor="accent4" w:sz="24" w:space="0"/>
              <w:bottom w:val="single" w:color="ACA8AA" w:themeColor="accent4" w:sz="24" w:space="0"/>
            </w:tcBorders>
            <w:tcMar/>
          </w:tcPr>
          <w:p w:rsidR="00CC2921" w:rsidP="00CC2921" w:rsidRDefault="00CC2921" w14:paraId="4EDC3256" w14:textId="556FEBA3">
            <w:pPr>
              <w:pStyle w:val="Heading1"/>
            </w:pPr>
            <w:r>
              <w:t>Experience</w:t>
            </w:r>
          </w:p>
          <w:p w:rsidR="00CC2921" w:rsidP="00CC2921" w:rsidRDefault="00CC2921" w14:paraId="7083FCBC" w14:textId="70D4E3F1">
            <w:pPr>
              <w:pStyle w:val="Heading2"/>
            </w:pPr>
            <w:r w:rsidR="0E6C88D2">
              <w:rPr/>
              <w:t xml:space="preserve">Senior </w:t>
            </w:r>
            <w:r w:rsidR="34496FB3">
              <w:rPr/>
              <w:t>Cloud Engineer</w:t>
            </w:r>
            <w:r w:rsidR="72212096">
              <w:rPr/>
              <w:t xml:space="preserve"> </w:t>
            </w:r>
          </w:p>
          <w:p w:rsidR="00CC2921" w:rsidP="732A1B7C" w:rsidRDefault="00CC2921" w14:paraId="12839CEE" w14:textId="1BA487A1">
            <w:pPr>
              <w:pStyle w:val="Heading3"/>
              <w:rPr>
                <w:sz w:val="22"/>
                <w:szCs w:val="22"/>
              </w:rPr>
            </w:pPr>
            <w:r w:rsidRPr="7FEEDFAD" w:rsidR="7DBD0396">
              <w:rPr>
                <w:sz w:val="22"/>
                <w:szCs w:val="22"/>
              </w:rPr>
              <w:t>Wells Fargo</w:t>
            </w:r>
            <w:r w:rsidRPr="7FEEDFAD" w:rsidR="6F84185A">
              <w:rPr>
                <w:sz w:val="22"/>
                <w:szCs w:val="22"/>
              </w:rPr>
              <w:t xml:space="preserve"> </w:t>
            </w:r>
          </w:p>
          <w:p w:rsidR="00CC2921" w:rsidP="00CC2921" w:rsidRDefault="00CC2921" w14:paraId="5E2807D6" w14:noSpellErr="1" w14:textId="1895C7F3">
            <w:pPr>
              <w:pStyle w:val="Heading4"/>
            </w:pPr>
            <w:r w:rsidR="49B047E2">
              <w:rPr/>
              <w:t>Jan 2024</w:t>
            </w:r>
            <w:r w:rsidR="78D2FEFE">
              <w:rPr/>
              <w:t xml:space="preserve"> – P</w:t>
            </w:r>
            <w:r w:rsidR="0008DD11">
              <w:rPr/>
              <w:t>RESENT</w:t>
            </w:r>
          </w:p>
          <w:p w:rsidR="05FDFA90" w:rsidP="05FDFA90" w:rsidRDefault="05FDFA90" w14:paraId="19AAF2CD" w14:textId="2C80239E">
            <w:pPr>
              <w:pStyle w:val="Normal"/>
            </w:pPr>
          </w:p>
          <w:p w:rsidR="7769F42D" w:rsidP="05FDFA90" w:rsidRDefault="7769F42D" w14:paraId="378745EE" w14:textId="076D603E">
            <w:pPr>
              <w:pStyle w:val="Normal"/>
            </w:pPr>
            <w:r w:rsidR="729CF2B5">
              <w:rPr/>
              <w:t xml:space="preserve">Project </w:t>
            </w:r>
            <w:r w:rsidR="07F41E71">
              <w:rPr/>
              <w:t>Description:</w:t>
            </w:r>
            <w:r w:rsidR="729CF2B5">
              <w:rPr/>
              <w:t xml:space="preserve"> </w:t>
            </w:r>
            <w:r w:rsidRPr="7FEEDFAD" w:rsidR="1AB684A7">
              <w:rPr>
                <w:rFonts w:ascii="Gill Sans MT" w:hAnsi="Gill Sans MT" w:eastAsia="Gill Sans MT" w:cs="Gill Sans MT"/>
                <w:noProof w:val="0"/>
                <w:sz w:val="20"/>
                <w:szCs w:val="20"/>
                <w:lang w:val="en-US"/>
              </w:rPr>
              <w:t xml:space="preserve">I am part of Wells Fargo’s </w:t>
            </w:r>
            <w:r w:rsidRPr="7FEEDFAD" w:rsidR="1AB684A7">
              <w:rPr>
                <w:rFonts w:ascii="Gill Sans MT" w:hAnsi="Gill Sans MT" w:eastAsia="Gill Sans MT" w:cs="Gill Sans MT"/>
                <w:b w:val="1"/>
                <w:bCs w:val="1"/>
                <w:noProof w:val="0"/>
                <w:sz w:val="20"/>
                <w:szCs w:val="20"/>
                <w:lang w:val="en-US"/>
              </w:rPr>
              <w:t>Credit Recovery Modernization Greenfield team</w:t>
            </w:r>
            <w:r w:rsidRPr="7FEEDFAD" w:rsidR="1AB684A7">
              <w:rPr>
                <w:rFonts w:ascii="Gill Sans MT" w:hAnsi="Gill Sans MT" w:eastAsia="Gill Sans MT" w:cs="Gill Sans MT"/>
                <w:noProof w:val="0"/>
                <w:sz w:val="20"/>
                <w:szCs w:val="20"/>
                <w:lang w:val="en-US"/>
              </w:rPr>
              <w:t>, driving the migration of legacy recovery systems into a fully cloud-native, standardized DevOps ecosystem. The project focuses on building enterprise-grade CI/CD pipelines, containerized microservices, and secure cloud automation aligned with bank-wide engineering standards. I collaborate across platform, cybersecurity, and SRE teams to implement compliance-driven quality gates (SonarQube, Nexus IQ) and ensure reliable deployments across Kubernetes and cloud environments. This initiative enables faster delivery, consistent tool adoption, and seamless modernization across all Credit Recovery applications.</w:t>
            </w:r>
          </w:p>
          <w:p w:rsidR="05FDFA90" w:rsidP="05FDFA90" w:rsidRDefault="05FDFA90" w14:paraId="741CBBA1" w14:textId="712797E3">
            <w:pPr>
              <w:pStyle w:val="Normal"/>
            </w:pPr>
          </w:p>
          <w:p w:rsidR="0A097CC0" w:rsidP="7FEEDFAD" w:rsidRDefault="0A097CC0" w14:paraId="2842029C" w14:textId="4D0D9093">
            <w:pPr>
              <w:pStyle w:val="ListParagraph"/>
              <w:numPr>
                <w:ilvl w:val="0"/>
                <w:numId w:val="6"/>
              </w:numPr>
              <w:spacing w:before="0" w:beforeAutospacing="off" w:after="0" w:afterAutospacing="off"/>
              <w:rPr>
                <w:noProof w:val="0"/>
                <w:lang w:val="en-US"/>
              </w:rPr>
            </w:pPr>
            <w:r w:rsidRPr="7FEEDFAD" w:rsidR="0A097CC0">
              <w:rPr>
                <w:noProof w:val="0"/>
                <w:lang w:val="en-US"/>
              </w:rPr>
              <w:t>Designed and implemented enterprise CI/CD pipelines using Jenkins and Groovy, with integrated artifact management through Artifactory/Nexus</w:t>
            </w:r>
          </w:p>
          <w:p w:rsidR="616C1676" w:rsidP="7FEEDFAD" w:rsidRDefault="616C1676" w14:paraId="2FEABDE5" w14:textId="704B84D9">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Built cloud-native infrastructure with </w:t>
            </w:r>
            <w:r w:rsidRPr="7FEEDFAD" w:rsidR="616C1676">
              <w:rPr>
                <w:b w:val="1"/>
                <w:bCs w:val="1"/>
                <w:noProof w:val="0"/>
                <w:lang w:val="en-US"/>
              </w:rPr>
              <w:t>Terraform, Helm charts, Kubernetes (OpenShift/EKS)</w:t>
            </w:r>
            <w:r w:rsidRPr="7FEEDFAD" w:rsidR="616C1676">
              <w:rPr>
                <w:noProof w:val="0"/>
                <w:lang w:val="en-US"/>
              </w:rPr>
              <w:t xml:space="preserve"> and automated environment provisioning for Credit Recovery modernization.</w:t>
            </w:r>
          </w:p>
          <w:p w:rsidR="616C1676" w:rsidP="7FEEDFAD" w:rsidRDefault="616C1676" w14:paraId="3632F22A" w14:textId="46A1F60F">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Migrated legacy workloads and repositories into standardized toolchains by automating </w:t>
            </w:r>
            <w:r w:rsidRPr="7FEEDFAD" w:rsidR="616C1676">
              <w:rPr>
                <w:b w:val="1"/>
                <w:bCs w:val="1"/>
                <w:noProof w:val="0"/>
                <w:lang w:val="en-US"/>
              </w:rPr>
              <w:t>Jenkins job imports, GitHub repo transitions</w:t>
            </w:r>
            <w:r w:rsidRPr="7FEEDFAD" w:rsidR="616C1676">
              <w:rPr>
                <w:noProof w:val="0"/>
                <w:lang w:val="en-US"/>
              </w:rPr>
              <w:t>, and cross-platform configuration scripts.</w:t>
            </w:r>
          </w:p>
          <w:p w:rsidR="616C1676" w:rsidP="7FEEDFAD" w:rsidRDefault="616C1676" w14:paraId="19C9724F" w14:textId="4D094503">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Implemented SRE best practices including </w:t>
            </w:r>
            <w:r w:rsidRPr="7FEEDFAD" w:rsidR="616C1676">
              <w:rPr>
                <w:b w:val="1"/>
                <w:bCs w:val="1"/>
                <w:noProof w:val="0"/>
                <w:lang w:val="en-US"/>
              </w:rPr>
              <w:t>observability with Grafana/Prometheus</w:t>
            </w:r>
            <w:r w:rsidRPr="7FEEDFAD" w:rsidR="616C1676">
              <w:rPr>
                <w:noProof w:val="0"/>
                <w:lang w:val="en-US"/>
              </w:rPr>
              <w:t>, distributed logging using ELK/Datadog, and automated alerting through PagerDuty.</w:t>
            </w:r>
          </w:p>
          <w:p w:rsidR="616C1676" w:rsidP="7FEEDFAD" w:rsidRDefault="616C1676" w14:paraId="3D047FD5" w14:textId="08A279FE">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Partnered with DevSecOps to enforce </w:t>
            </w:r>
            <w:r w:rsidRPr="7FEEDFAD" w:rsidR="616C1676">
              <w:rPr>
                <w:b w:val="1"/>
                <w:bCs w:val="1"/>
                <w:noProof w:val="0"/>
                <w:lang w:val="en-US"/>
              </w:rPr>
              <w:t>SonarQube, Nexus IQ, Checkmarx</w:t>
            </w:r>
            <w:r w:rsidRPr="7FEEDFAD" w:rsidR="616C1676">
              <w:rPr>
                <w:noProof w:val="0"/>
                <w:lang w:val="en-US"/>
              </w:rPr>
              <w:t xml:space="preserve"> quality gates across all pipelines, strengthening compliance and secure software delivery.</w:t>
            </w:r>
          </w:p>
          <w:p w:rsidR="616C1676" w:rsidP="7FEEDFAD" w:rsidRDefault="616C1676" w14:paraId="3C54258B" w14:textId="00B5D2D7">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Developed reusable pipeline frameworks in </w:t>
            </w:r>
            <w:r w:rsidRPr="7FEEDFAD" w:rsidR="616C1676">
              <w:rPr>
                <w:b w:val="1"/>
                <w:bCs w:val="1"/>
                <w:noProof w:val="0"/>
                <w:lang w:val="en-US"/>
              </w:rPr>
              <w:t>Groovy and YAML</w:t>
            </w:r>
            <w:r w:rsidRPr="7FEEDFAD" w:rsidR="616C1676">
              <w:rPr>
                <w:noProof w:val="0"/>
                <w:lang w:val="en-US"/>
              </w:rPr>
              <w:t>, integrating APIs for Jira, ServiceNow, and internal governance tools to improve automation consistency.</w:t>
            </w:r>
          </w:p>
          <w:p w:rsidR="616C1676" w:rsidP="7FEEDFAD" w:rsidRDefault="616C1676" w14:paraId="68C87807" w14:textId="3E12825F">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Managed container lifecycle operations with </w:t>
            </w:r>
            <w:r w:rsidRPr="7FEEDFAD" w:rsidR="616C1676">
              <w:rPr>
                <w:b w:val="1"/>
                <w:bCs w:val="1"/>
                <w:noProof w:val="0"/>
                <w:lang w:val="en-US"/>
              </w:rPr>
              <w:t>Docker, Kubernetes, OpenShift</w:t>
            </w:r>
            <w:r w:rsidRPr="7FEEDFAD" w:rsidR="616C1676">
              <w:rPr>
                <w:noProof w:val="0"/>
                <w:lang w:val="en-US"/>
              </w:rPr>
              <w:t>, optimizing deployment workflows for microservices in cloud and hybrid environments.</w:t>
            </w:r>
          </w:p>
          <w:p w:rsidR="616C1676" w:rsidP="7FEEDFAD" w:rsidRDefault="616C1676" w14:paraId="5DBCA0D8" w14:textId="72FF476A">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Automated cloud environment setup and application rollout using </w:t>
            </w:r>
            <w:r w:rsidRPr="7FEEDFAD" w:rsidR="616C1676">
              <w:rPr>
                <w:b w:val="1"/>
                <w:bCs w:val="1"/>
                <w:noProof w:val="0"/>
                <w:lang w:val="en-US"/>
              </w:rPr>
              <w:t>Ansible, Terraform Cloud, GitLab/GitHub</w:t>
            </w:r>
            <w:r w:rsidRPr="7FEEDFAD" w:rsidR="616C1676">
              <w:rPr>
                <w:noProof w:val="0"/>
                <w:lang w:val="en-US"/>
              </w:rPr>
              <w:t>, reducing manual overhead and deployment delays.</w:t>
            </w:r>
          </w:p>
          <w:p w:rsidR="616C1676" w:rsidP="7FEEDFAD" w:rsidRDefault="616C1676" w14:paraId="3A3460E6" w14:textId="05D9D541">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Supported multi-team modernization efforts by standardizing branching strategies, PR validation workflows, and release pipelines across </w:t>
            </w:r>
            <w:r w:rsidRPr="7FEEDFAD" w:rsidR="616C1676">
              <w:rPr>
                <w:b w:val="1"/>
                <w:bCs w:val="1"/>
                <w:noProof w:val="0"/>
                <w:lang w:val="en-US"/>
              </w:rPr>
              <w:t>GitHub, GitLab, and Azure DevOps</w:t>
            </w:r>
            <w:r w:rsidRPr="7FEEDFAD" w:rsidR="616C1676">
              <w:rPr>
                <w:noProof w:val="0"/>
                <w:lang w:val="en-US"/>
              </w:rPr>
              <w:t>.</w:t>
            </w:r>
          </w:p>
          <w:p w:rsidR="616C1676" w:rsidP="7FEEDFAD" w:rsidRDefault="616C1676" w14:paraId="3688D2A2" w14:textId="3FE08A80">
            <w:pPr>
              <w:pStyle w:val="ListParagraph"/>
              <w:numPr>
                <w:ilvl w:val="0"/>
                <w:numId w:val="6"/>
              </w:numPr>
              <w:spacing w:before="240" w:beforeAutospacing="off" w:after="240" w:afterAutospacing="off"/>
              <w:rPr>
                <w:noProof w:val="0"/>
                <w:lang w:val="en-US"/>
              </w:rPr>
            </w:pPr>
            <w:r w:rsidRPr="7FEEDFAD" w:rsidR="616C1676">
              <w:rPr>
                <w:noProof w:val="0"/>
                <w:lang w:val="en-US"/>
              </w:rPr>
              <w:t xml:space="preserve">Acted as an SRE/Cloud Engineer liaison to product teams, troubleshooting production issues, improving reliability through </w:t>
            </w:r>
            <w:r w:rsidRPr="7FEEDFAD" w:rsidR="616C1676">
              <w:rPr>
                <w:b w:val="1"/>
                <w:bCs w:val="1"/>
                <w:noProof w:val="0"/>
                <w:lang w:val="en-US"/>
              </w:rPr>
              <w:t>chaos testing</w:t>
            </w:r>
            <w:r w:rsidRPr="7FEEDFAD" w:rsidR="616C1676">
              <w:rPr>
                <w:noProof w:val="0"/>
                <w:lang w:val="en-US"/>
              </w:rPr>
              <w:t>, and implementing robust runbooks for operational readiness.</w:t>
            </w:r>
          </w:p>
          <w:p w:rsidR="7FEEDFAD" w:rsidP="7FEEDFAD" w:rsidRDefault="7FEEDFAD" w14:paraId="00725CEF" w14:textId="7C369B78">
            <w:pPr>
              <w:pStyle w:val="ListParagraph"/>
              <w:spacing w:before="0" w:beforeAutospacing="off" w:after="0" w:afterAutospacing="off"/>
              <w:ind w:left="720"/>
              <w:rPr>
                <w:rFonts w:ascii="Calibri" w:hAnsi="Calibri" w:eastAsia="Calibri" w:cs="Calibri"/>
                <w:b w:val="0"/>
                <w:bCs w:val="0"/>
                <w:i w:val="0"/>
                <w:iCs w:val="0"/>
                <w:noProof w:val="0"/>
                <w:color w:val="000000" w:themeColor="text1" w:themeTint="FF" w:themeShade="FF"/>
                <w:sz w:val="20"/>
                <w:szCs w:val="20"/>
                <w:lang w:val="en-US" w:eastAsia="en-US" w:bidi="ar-SA"/>
              </w:rPr>
            </w:pPr>
          </w:p>
          <w:p w:rsidR="004D4E50" w:rsidP="00CC2921" w:rsidRDefault="00CC2921" w14:paraId="3C315300" w14:textId="2CEC0E36"/>
          <w:p w:rsidR="004D4E50" w:rsidP="7FEEDFAD" w:rsidRDefault="00CC2921" w14:paraId="7D8A6348" w14:textId="45B89CA2">
            <w:pPr>
              <w:pStyle w:val="Heading2"/>
              <w:rPr>
                <w:rFonts w:ascii="Gill Sans MT" w:hAnsi="Gill Sans MT" w:eastAsia="" w:cs="" w:asciiTheme="majorAscii" w:hAnsiTheme="majorAscii" w:eastAsiaTheme="majorEastAsia" w:cstheme="minorBidi"/>
                <w:b w:val="1"/>
                <w:bCs w:val="1"/>
                <w:caps w:val="1"/>
                <w:color w:val="000000" w:themeColor="text1" w:themeTint="FF" w:themeShade="FF"/>
                <w:sz w:val="20"/>
                <w:szCs w:val="20"/>
                <w:lang w:eastAsia="en-US" w:bidi="ar-SA"/>
              </w:rPr>
            </w:pPr>
            <w:r w:rsidRPr="7FEEDFAD" w:rsidR="082A48CD">
              <w:rPr>
                <w:rFonts w:ascii="Gill Sans MT" w:hAnsi="Gill Sans MT" w:eastAsia="" w:cs="" w:asciiTheme="majorAscii" w:hAnsiTheme="majorAscii" w:eastAsiaTheme="majorEastAsia" w:cstheme="minorBidi"/>
                <w:b w:val="1"/>
                <w:bCs w:val="1"/>
                <w:caps w:val="1"/>
                <w:color w:val="000000" w:themeColor="text1" w:themeTint="FF" w:themeShade="FF"/>
                <w:sz w:val="20"/>
                <w:szCs w:val="20"/>
                <w:lang w:eastAsia="en-US" w:bidi="ar-SA"/>
              </w:rPr>
              <w:t xml:space="preserve">SR. CLOUD devops  </w:t>
            </w:r>
            <w:r w:rsidRPr="7FEEDFAD" w:rsidR="082A48CD">
              <w:rPr>
                <w:rFonts w:ascii="Gill Sans MT" w:hAnsi="Gill Sans MT" w:eastAsia="" w:cs="" w:asciiTheme="majorAscii" w:hAnsiTheme="majorAscii" w:eastAsiaTheme="majorEastAsia" w:cstheme="minorBidi"/>
                <w:b w:val="1"/>
                <w:bCs w:val="1"/>
                <w:caps w:val="1"/>
                <w:color w:val="000000" w:themeColor="text1" w:themeTint="FF" w:themeShade="FF"/>
                <w:sz w:val="20"/>
                <w:szCs w:val="20"/>
                <w:lang w:eastAsia="en-US" w:bidi="ar-SA"/>
              </w:rPr>
              <w:t>ENgineer</w:t>
            </w:r>
            <w:r w:rsidRPr="7FEEDFAD" w:rsidR="082A48CD">
              <w:rPr>
                <w:rFonts w:ascii="Gill Sans MT" w:hAnsi="Gill Sans MT" w:eastAsia="" w:cs="" w:asciiTheme="majorAscii" w:hAnsiTheme="majorAscii" w:eastAsiaTheme="majorEastAsia" w:cstheme="minorBidi"/>
                <w:b w:val="1"/>
                <w:bCs w:val="1"/>
                <w:caps w:val="1"/>
                <w:color w:val="000000" w:themeColor="text1" w:themeTint="FF" w:themeShade="FF"/>
                <w:sz w:val="20"/>
                <w:szCs w:val="20"/>
                <w:lang w:eastAsia="en-US" w:bidi="ar-SA"/>
              </w:rPr>
              <w:t xml:space="preserve"> </w:t>
            </w:r>
          </w:p>
          <w:p w:rsidR="004D4E50" w:rsidP="732A1B7C" w:rsidRDefault="00CC2921" w14:paraId="37E2C882" w14:textId="46520109">
            <w:pPr>
              <w:pStyle w:val="Heading3"/>
              <w:rPr>
                <w:sz w:val="24"/>
                <w:szCs w:val="24"/>
              </w:rPr>
            </w:pPr>
            <w:r w:rsidRPr="7FEEDFAD" w:rsidR="289BB048">
              <w:rPr>
                <w:sz w:val="24"/>
                <w:szCs w:val="24"/>
              </w:rPr>
              <w:t>GM Financial</w:t>
            </w:r>
          </w:p>
          <w:p w:rsidR="004D4E50" w:rsidP="732A1B7C" w:rsidRDefault="00CC2921" w14:noSpellErr="1" w14:paraId="0F8B6304" w14:textId="1D950335">
            <w:pPr>
              <w:pStyle w:val="Heading4"/>
            </w:pPr>
            <w:r w:rsidR="1546B70B">
              <w:rPr/>
              <w:t>JUNE 2022</w:t>
            </w:r>
            <w:r w:rsidR="5CB6FEF2">
              <w:rPr/>
              <w:t xml:space="preserve"> </w:t>
            </w:r>
            <w:r w:rsidR="1546B70B">
              <w:rPr/>
              <w:t xml:space="preserve">– Dec </w:t>
            </w:r>
            <w:r w:rsidR="39850D5A">
              <w:rPr/>
              <w:t>2023</w:t>
            </w:r>
          </w:p>
          <w:p w:rsidR="5E3C5127" w:rsidP="05FDFA90" w:rsidRDefault="5E3C5127" w14:paraId="3B5D1B60" w14:textId="50A75B78">
            <w:pPr>
              <w:pStyle w:val="Normal"/>
            </w:pPr>
            <w:r w:rsidR="2DFCCE35">
              <w:rPr/>
              <w:t xml:space="preserve">Project </w:t>
            </w:r>
            <w:r w:rsidR="6A69BF3D">
              <w:rPr/>
              <w:t>Description:</w:t>
            </w:r>
            <w:r w:rsidR="1A2A56D6">
              <w:rPr/>
              <w:t xml:space="preserve"> </w:t>
            </w:r>
            <w:r w:rsidRPr="7FEEDFAD" w:rsidR="69E4E86A">
              <w:rPr>
                <w:rFonts w:ascii="Gill Sans MT" w:hAnsi="Gill Sans MT" w:eastAsia="Gill Sans MT" w:cs="Gill Sans MT"/>
                <w:noProof w:val="0"/>
                <w:sz w:val="20"/>
                <w:szCs w:val="20"/>
                <w:lang w:val="en-US"/>
              </w:rPr>
              <w:t xml:space="preserve">I work with GM </w:t>
            </w:r>
            <w:r w:rsidRPr="7FEEDFAD" w:rsidR="74BF0CFF">
              <w:rPr>
                <w:rFonts w:ascii="Gill Sans MT" w:hAnsi="Gill Sans MT" w:eastAsia="Gill Sans MT" w:cs="Gill Sans MT"/>
                <w:noProof w:val="0"/>
                <w:sz w:val="20"/>
                <w:szCs w:val="20"/>
                <w:lang w:val="en-US"/>
              </w:rPr>
              <w:t>Financials</w:t>
            </w:r>
            <w:r w:rsidRPr="7FEEDFAD" w:rsidR="69E4E86A">
              <w:rPr>
                <w:rFonts w:ascii="Gill Sans MT" w:hAnsi="Gill Sans MT" w:eastAsia="Gill Sans MT" w:cs="Gill Sans MT"/>
                <w:noProof w:val="0"/>
                <w:sz w:val="20"/>
                <w:szCs w:val="20"/>
                <w:lang w:val="en-US"/>
              </w:rPr>
              <w:t xml:space="preserve"> </w:t>
            </w:r>
            <w:r w:rsidRPr="7FEEDFAD" w:rsidR="69E4E86A">
              <w:rPr>
                <w:rFonts w:ascii="Gill Sans MT" w:hAnsi="Gill Sans MT" w:eastAsia="Gill Sans MT" w:cs="Gill Sans MT"/>
                <w:b w:val="1"/>
                <w:bCs w:val="1"/>
                <w:noProof w:val="0"/>
                <w:sz w:val="20"/>
                <w:szCs w:val="20"/>
                <w:lang w:val="en-US"/>
              </w:rPr>
              <w:t>Credit Risk Center of Excellence (</w:t>
            </w:r>
            <w:r w:rsidRPr="7FEEDFAD" w:rsidR="69E4E86A">
              <w:rPr>
                <w:rFonts w:ascii="Gill Sans MT" w:hAnsi="Gill Sans MT" w:eastAsia="Gill Sans MT" w:cs="Gill Sans MT"/>
                <w:b w:val="1"/>
                <w:bCs w:val="1"/>
                <w:noProof w:val="0"/>
                <w:sz w:val="20"/>
                <w:szCs w:val="20"/>
                <w:lang w:val="en-US"/>
              </w:rPr>
              <w:t>CoE</w:t>
            </w:r>
            <w:r w:rsidRPr="7FEEDFAD" w:rsidR="69E4E86A">
              <w:rPr>
                <w:rFonts w:ascii="Gill Sans MT" w:hAnsi="Gill Sans MT" w:eastAsia="Gill Sans MT" w:cs="Gill Sans MT"/>
                <w:b w:val="1"/>
                <w:bCs w:val="1"/>
                <w:noProof w:val="0"/>
                <w:sz w:val="20"/>
                <w:szCs w:val="20"/>
                <w:lang w:val="en-US"/>
              </w:rPr>
              <w:t>)</w:t>
            </w:r>
            <w:r w:rsidRPr="7FEEDFAD" w:rsidR="69E4E86A">
              <w:rPr>
                <w:rFonts w:ascii="Gill Sans MT" w:hAnsi="Gill Sans MT" w:eastAsia="Gill Sans MT" w:cs="Gill Sans MT"/>
                <w:noProof w:val="0"/>
                <w:sz w:val="20"/>
                <w:szCs w:val="20"/>
                <w:lang w:val="en-US"/>
              </w:rPr>
              <w:t xml:space="preserve"> team, where we design and deliver reusable cloud-native DevOps and automation solutions consumed across multiple risk and analytics products. Our focus is on building standardized CI/CD frameworks, containerized deployment models, and secure cloud provisioning modules that accelerate modernization across all Credit Risk platforms. We collaborate closely with engineering, cybersecurity, and SRE teams to enforce quality gates, ensure compliance alignment, and improve reliability across hybrid environments.</w:t>
            </w:r>
          </w:p>
          <w:p w:rsidR="004D4E50" w:rsidP="732A1B7C" w:rsidRDefault="00CC2921" w14:paraId="524C74EB" w14:textId="5F29B575">
            <w:pPr>
              <w:pStyle w:val="Normal"/>
            </w:pPr>
          </w:p>
          <w:p w:rsidR="004D4E50" w:rsidP="7FEEDFAD" w:rsidRDefault="00CC2921" w14:paraId="0C51C2D4" w14:textId="334A86D4">
            <w:pPr>
              <w:pStyle w:val="ListParagraph"/>
              <w:numPr>
                <w:ilvl w:val="0"/>
                <w:numId w:val="6"/>
              </w:numPr>
              <w:suppressLineNumbers w:val="0"/>
              <w:bidi w:val="0"/>
              <w:spacing w:before="0" w:beforeAutospacing="off" w:after="0" w:afterAutospacing="off" w:line="240" w:lineRule="exact"/>
              <w:ind w:left="720" w:right="0" w:hanging="360"/>
              <w:jc w:val="left"/>
              <w:rPr>
                <w:noProof w:val="0"/>
                <w:lang w:val="en-US"/>
              </w:rPr>
            </w:pPr>
            <w:r w:rsidRPr="7FEEDFAD" w:rsidR="69E4E86A">
              <w:rPr>
                <w:noProof w:val="0"/>
                <w:lang w:val="en-US"/>
              </w:rPr>
              <w:t xml:space="preserve">Developed reusable CI/CD pipeline templates using </w:t>
            </w:r>
            <w:r w:rsidRPr="7FEEDFAD" w:rsidR="69E4E86A">
              <w:rPr>
                <w:b w:val="1"/>
                <w:bCs w:val="1"/>
                <w:noProof w:val="0"/>
                <w:lang w:val="en-US"/>
              </w:rPr>
              <w:t>Jenkins, GitHub Actions, and GitLab</w:t>
            </w:r>
            <w:r w:rsidRPr="7FEEDFAD" w:rsidR="69E4E86A">
              <w:rPr>
                <w:noProof w:val="0"/>
                <w:lang w:val="en-US"/>
              </w:rPr>
              <w:t>, integrating SonarQube, Nexus IQ, and Artifactory to standardize delivery across Credit Risk platforms.</w:t>
            </w:r>
          </w:p>
          <w:p w:rsidR="004D4E50" w:rsidP="7FEEDFAD" w:rsidRDefault="00CC2921" w14:paraId="618972F5" w14:textId="6079D89E">
            <w:pPr>
              <w:pStyle w:val="ListParagraph"/>
              <w:numPr>
                <w:ilvl w:val="0"/>
                <w:numId w:val="6"/>
              </w:numPr>
              <w:suppressLineNumbers w:val="0"/>
              <w:spacing w:before="240" w:beforeAutospacing="off" w:after="240" w:afterAutospacing="off" w:line="240" w:lineRule="exact"/>
              <w:ind/>
              <w:rPr>
                <w:noProof w:val="0"/>
                <w:lang w:val="en-US"/>
              </w:rPr>
            </w:pPr>
            <w:r w:rsidRPr="7FEEDFAD" w:rsidR="69E4E86A">
              <w:rPr>
                <w:noProof w:val="0"/>
                <w:lang w:val="en-US"/>
              </w:rPr>
              <w:t xml:space="preserve">Automated cloud provisioning workflows using </w:t>
            </w:r>
            <w:r w:rsidRPr="7FEEDFAD" w:rsidR="69E4E86A">
              <w:rPr>
                <w:b w:val="1"/>
                <w:bCs w:val="1"/>
                <w:noProof w:val="0"/>
                <w:lang w:val="en-US"/>
              </w:rPr>
              <w:t>Terraform, Helm, and Kubernetes (AKS/OpenShift)</w:t>
            </w:r>
            <w:r w:rsidRPr="7FEEDFAD" w:rsidR="69E4E86A">
              <w:rPr>
                <w:noProof w:val="0"/>
                <w:lang w:val="en-US"/>
              </w:rPr>
              <w:t xml:space="preserve"> to support scalable deployment patterns for CoE-managed applications.</w:t>
            </w:r>
          </w:p>
          <w:p w:rsidR="004D4E50" w:rsidP="7FEEDFAD" w:rsidRDefault="00CC2921" w14:paraId="36AB2963" w14:textId="13C0381D">
            <w:pPr>
              <w:pStyle w:val="ListParagraph"/>
              <w:numPr>
                <w:ilvl w:val="0"/>
                <w:numId w:val="6"/>
              </w:numPr>
              <w:suppressLineNumbers w:val="0"/>
              <w:spacing w:before="240" w:beforeAutospacing="off" w:after="240" w:afterAutospacing="off" w:line="240" w:lineRule="exact"/>
              <w:ind/>
              <w:rPr>
                <w:noProof w:val="0"/>
                <w:lang w:val="en-US"/>
              </w:rPr>
            </w:pPr>
            <w:r w:rsidRPr="7FEEDFAD" w:rsidR="69E4E86A">
              <w:rPr>
                <w:noProof w:val="0"/>
                <w:lang w:val="en-US"/>
              </w:rPr>
              <w:t xml:space="preserve">Built containerized microservice deployment frameworks using </w:t>
            </w:r>
            <w:r w:rsidRPr="7FEEDFAD" w:rsidR="69E4E86A">
              <w:rPr>
                <w:b w:val="1"/>
                <w:bCs w:val="1"/>
                <w:noProof w:val="0"/>
                <w:lang w:val="en-US"/>
              </w:rPr>
              <w:t>Docker, Kubernetes Operators, Istio</w:t>
            </w:r>
            <w:r w:rsidRPr="7FEEDFAD" w:rsidR="69E4E86A">
              <w:rPr>
                <w:noProof w:val="0"/>
                <w:lang w:val="en-US"/>
              </w:rPr>
              <w:t>, and implemented service reliability best practices.</w:t>
            </w:r>
          </w:p>
          <w:p w:rsidR="004D4E50" w:rsidP="7FEEDFAD" w:rsidRDefault="00CC2921" w14:paraId="7481E4EC" w14:textId="3DFBA146">
            <w:pPr>
              <w:pStyle w:val="ListParagraph"/>
              <w:numPr>
                <w:ilvl w:val="0"/>
                <w:numId w:val="6"/>
              </w:numPr>
              <w:suppressLineNumbers w:val="0"/>
              <w:spacing w:before="240" w:beforeAutospacing="off" w:after="240" w:afterAutospacing="off" w:line="240" w:lineRule="exact"/>
              <w:ind/>
              <w:rPr>
                <w:noProof w:val="0"/>
                <w:lang w:val="en-US"/>
              </w:rPr>
            </w:pPr>
            <w:r w:rsidRPr="7FEEDFAD" w:rsidR="69E4E86A">
              <w:rPr>
                <w:noProof w:val="0"/>
                <w:lang w:val="en-US"/>
              </w:rPr>
              <w:t xml:space="preserve">Implemented observability and SRE tooling using </w:t>
            </w:r>
            <w:r w:rsidRPr="7FEEDFAD" w:rsidR="69E4E86A">
              <w:rPr>
                <w:b w:val="1"/>
                <w:bCs w:val="1"/>
                <w:noProof w:val="0"/>
                <w:lang w:val="en-US"/>
              </w:rPr>
              <w:t>Prometheus, Grafana, ELK, and Datadog</w:t>
            </w:r>
            <w:r w:rsidRPr="7FEEDFAD" w:rsidR="69E4E86A">
              <w:rPr>
                <w:noProof w:val="0"/>
                <w:lang w:val="en-US"/>
              </w:rPr>
              <w:t>, improving system reliability and accelerating incident resolution.</w:t>
            </w:r>
          </w:p>
          <w:p w:rsidR="004D4E50" w:rsidP="7FEEDFAD" w:rsidRDefault="00CC2921" w14:paraId="14C3781C" w14:textId="700AF7ED">
            <w:pPr>
              <w:pStyle w:val="ListParagraph"/>
              <w:numPr>
                <w:ilvl w:val="0"/>
                <w:numId w:val="6"/>
              </w:numPr>
              <w:suppressLineNumbers w:val="0"/>
              <w:spacing w:before="240" w:beforeAutospacing="off" w:after="240" w:afterAutospacing="off" w:line="240" w:lineRule="exact"/>
              <w:ind/>
              <w:rPr>
                <w:noProof w:val="0"/>
                <w:lang w:val="en-US"/>
              </w:rPr>
            </w:pPr>
            <w:r w:rsidRPr="7FEEDFAD" w:rsidR="69E4E86A">
              <w:rPr>
                <w:noProof w:val="0"/>
                <w:lang w:val="en-US"/>
              </w:rPr>
              <w:t xml:space="preserve">Drove automation of environment setup, policy enforcement, and configuration management using </w:t>
            </w:r>
            <w:r w:rsidRPr="7FEEDFAD" w:rsidR="69E4E86A">
              <w:rPr>
                <w:b w:val="1"/>
                <w:bCs w:val="1"/>
                <w:noProof w:val="0"/>
                <w:lang w:val="en-US"/>
              </w:rPr>
              <w:t>Ansible, Terraform Cloud, and Azure DevOps Repos</w:t>
            </w:r>
            <w:r w:rsidRPr="7FEEDFAD" w:rsidR="69E4E86A">
              <w:rPr>
                <w:noProof w:val="0"/>
                <w:lang w:val="en-US"/>
              </w:rPr>
              <w:t>.</w:t>
            </w:r>
          </w:p>
          <w:p w:rsidR="004D4E50" w:rsidP="7FEEDFAD" w:rsidRDefault="00CC2921" w14:paraId="63DDFC7E" w14:textId="7D3C866A">
            <w:pPr>
              <w:pStyle w:val="ListParagraph"/>
              <w:numPr>
                <w:ilvl w:val="0"/>
                <w:numId w:val="6"/>
              </w:numPr>
              <w:suppressLineNumbers w:val="0"/>
              <w:spacing w:before="240" w:beforeAutospacing="off" w:after="240" w:afterAutospacing="off" w:line="240" w:lineRule="exact"/>
              <w:ind/>
              <w:rPr>
                <w:noProof w:val="0"/>
                <w:lang w:val="en-US"/>
              </w:rPr>
            </w:pPr>
            <w:r w:rsidRPr="7FEEDFAD" w:rsidR="69E4E86A">
              <w:rPr>
                <w:noProof w:val="0"/>
                <w:lang w:val="en-US"/>
              </w:rPr>
              <w:t xml:space="preserve">Led tool convergence initiatives by migrating projects into standardized </w:t>
            </w:r>
            <w:r w:rsidRPr="7FEEDFAD" w:rsidR="69E4E86A">
              <w:rPr>
                <w:b w:val="1"/>
                <w:bCs w:val="1"/>
                <w:noProof w:val="0"/>
                <w:lang w:val="en-US"/>
              </w:rPr>
              <w:t>GitHub/GitLab repositories</w:t>
            </w:r>
            <w:r w:rsidRPr="7FEEDFAD" w:rsidR="69E4E86A">
              <w:rPr>
                <w:noProof w:val="0"/>
                <w:lang w:val="en-US"/>
              </w:rPr>
              <w:t>, consolidating Jenkins controllers, and unifying artifact repositories.</w:t>
            </w:r>
          </w:p>
          <w:p w:rsidR="004D4E50" w:rsidP="7FEEDFAD" w:rsidRDefault="00CC2921" w14:paraId="3806AEE0" w14:textId="31490893">
            <w:pPr>
              <w:pStyle w:val="ListParagraph"/>
              <w:numPr>
                <w:ilvl w:val="0"/>
                <w:numId w:val="6"/>
              </w:numPr>
              <w:suppressLineNumbers w:val="0"/>
              <w:spacing w:before="240" w:beforeAutospacing="off" w:after="240" w:afterAutospacing="off" w:line="240" w:lineRule="exact"/>
              <w:ind/>
              <w:rPr>
                <w:noProof w:val="0"/>
                <w:lang w:val="en-US"/>
              </w:rPr>
            </w:pPr>
            <w:r w:rsidRPr="7FEEDFAD" w:rsidR="69E4E86A">
              <w:rPr>
                <w:noProof w:val="0"/>
                <w:lang w:val="en-US"/>
              </w:rPr>
              <w:t>Partnered with product engineering teams to define branching strategies, deployment patterns, and container runtime standards aligned with enterprise governance.</w:t>
            </w:r>
          </w:p>
          <w:p w:rsidR="004D4E50" w:rsidP="7FEEDFAD" w:rsidRDefault="00CC2921" w14:paraId="03B96373" w14:textId="13F7EFBF">
            <w:pPr>
              <w:pStyle w:val="ListParagraph"/>
              <w:numPr>
                <w:ilvl w:val="0"/>
                <w:numId w:val="6"/>
              </w:numPr>
              <w:suppressLineNumbers w:val="0"/>
              <w:spacing w:before="240" w:beforeAutospacing="off" w:after="240" w:afterAutospacing="off" w:line="240" w:lineRule="exact"/>
              <w:ind/>
              <w:rPr>
                <w:noProof w:val="0"/>
                <w:lang w:val="en-US"/>
              </w:rPr>
            </w:pPr>
            <w:r w:rsidRPr="7FEEDFAD" w:rsidR="69E4E86A">
              <w:rPr>
                <w:noProof w:val="0"/>
                <w:lang w:val="en-US"/>
              </w:rPr>
              <w:t>Supported SRE-led reliability initiatives including automated failover testing, performance benchmarking, and creating runbooks/playbooks for hybrid cloud environments.</w:t>
            </w:r>
          </w:p>
          <w:p w:rsidR="004D4E50" w:rsidP="7FEEDFAD" w:rsidRDefault="00CC2921" w14:paraId="170EE054" w14:textId="0839FD76">
            <w:pPr>
              <w:pStyle w:val="ListParagraph"/>
              <w:suppressLineNumbers w:val="0"/>
              <w:spacing w:before="0" w:beforeAutospacing="off" w:after="0" w:afterAutospacing="off" w:line="240" w:lineRule="exact"/>
              <w:ind w:left="720" w:right="0" w:hanging="360"/>
              <w:jc w:val="left"/>
              <w:rPr>
                <w:rFonts w:ascii="Calibri" w:hAnsi="Calibri" w:eastAsia="Calibri" w:cs="Calibri"/>
                <w:b w:val="0"/>
                <w:bCs w:val="0"/>
                <w:i w:val="0"/>
                <w:iCs w:val="0"/>
                <w:noProof w:val="0"/>
                <w:color w:val="000000" w:themeColor="text1" w:themeTint="FF" w:themeShade="FF"/>
                <w:sz w:val="20"/>
                <w:szCs w:val="20"/>
                <w:lang w:val="en-US" w:eastAsia="en-US" w:bidi="ar-SA"/>
              </w:rPr>
            </w:pPr>
          </w:p>
          <w:p w:rsidR="004D4E50" w:rsidP="732A1B7C" w:rsidRDefault="00CC2921" w14:paraId="696F2116" w14:textId="0601F57D">
            <w:pPr>
              <w:pStyle w:val="Normal"/>
            </w:pPr>
          </w:p>
          <w:p w:rsidR="004D4E50" w:rsidP="732A1B7C" w:rsidRDefault="00CC2921" w14:paraId="03ABB1E9" w14:noSpellErr="1" w14:textId="6955CA56">
            <w:pPr>
              <w:pStyle w:val="Heading2"/>
            </w:pPr>
            <w:r w:rsidR="2E0CBD65">
              <w:rPr/>
              <w:t>Cloud D</w:t>
            </w:r>
            <w:r w:rsidR="0B903CC7">
              <w:rPr/>
              <w:t xml:space="preserve">ata engineer </w:t>
            </w:r>
          </w:p>
          <w:p w:rsidR="004D4E50" w:rsidP="732A1B7C" w:rsidRDefault="00CC2921" w14:noSpellErr="1" w14:paraId="1C2A9271" w14:textId="4529DDAF">
            <w:pPr>
              <w:pStyle w:val="Heading3"/>
            </w:pPr>
            <w:r w:rsidR="342123B1">
              <w:rPr/>
              <w:t>Cerebrone</w:t>
            </w:r>
            <w:r w:rsidR="342123B1">
              <w:rPr/>
              <w:t xml:space="preserve"> AI </w:t>
            </w:r>
          </w:p>
          <w:p w:rsidR="004D4E50" w:rsidP="732A1B7C" w:rsidRDefault="00CC2921" w14:paraId="636964F8" w14:noSpellErr="1" w14:textId="6E0CAC95">
            <w:pPr>
              <w:pStyle w:val="Heading4"/>
            </w:pPr>
            <w:r w:rsidR="09F61503">
              <w:rPr/>
              <w:t>JUNE 202</w:t>
            </w:r>
            <w:r w:rsidR="0F5A57ED">
              <w:rPr/>
              <w:t>0</w:t>
            </w:r>
            <w:r w:rsidR="09F61503">
              <w:rPr/>
              <w:t xml:space="preserve"> – </w:t>
            </w:r>
            <w:r w:rsidR="755A4359">
              <w:rPr/>
              <w:t>MAY 202</w:t>
            </w:r>
            <w:r w:rsidR="09F61503">
              <w:rPr/>
              <w:t>2</w:t>
            </w:r>
          </w:p>
          <w:p w:rsidR="276FE906" w:rsidP="05FDFA90" w:rsidRDefault="276FE906" w14:paraId="69BDC7E4" w14:textId="340A62E6">
            <w:pPr>
              <w:pStyle w:val="Normal"/>
            </w:pPr>
            <w:r w:rsidR="5858E2EE">
              <w:rPr/>
              <w:t>Project:</w:t>
            </w:r>
            <w:r w:rsidR="58BC47E3">
              <w:rPr/>
              <w:t xml:space="preserve"> </w:t>
            </w:r>
            <w:r w:rsidRPr="7FEEDFAD" w:rsidR="081AD067">
              <w:rPr>
                <w:rFonts w:ascii="Gill Sans MT" w:hAnsi="Gill Sans MT" w:eastAsia="Gill Sans MT" w:cs="Gill Sans MT"/>
                <w:noProof w:val="0"/>
                <w:sz w:val="20"/>
                <w:szCs w:val="20"/>
                <w:lang w:val="en-US"/>
              </w:rPr>
              <w:t>At Cerebrone AI, I supported multiple telecom clients as a Cloud DevOps Engineer, helping them modernize legacy network operations platforms into resilient and scalable cloud-native systems. A core part of my role involved stabilizing unreliable deployment environments, rebuilding CI/CD foundations, and automating complex provisioning workflows across multi-cloud ecosystems. I collaborated closely with platform architects and SRE teams to solve high-traffic reliability challenges, introduce observability frameworks, and enforce security controls aligned with telecom compliance.</w:t>
            </w:r>
          </w:p>
          <w:p w:rsidR="004D4E50" w:rsidP="732A1B7C" w:rsidRDefault="00CC2921" w14:paraId="6051B815" w14:textId="099340F2">
            <w:pPr>
              <w:pStyle w:val="Normal"/>
            </w:pPr>
          </w:p>
          <w:p w:rsidR="004D4E50" w:rsidP="7FEEDFAD" w:rsidRDefault="00CC2921" w14:paraId="55E533CB" w14:textId="7F35C655">
            <w:pPr>
              <w:pStyle w:val="ListParagraph"/>
              <w:numPr>
                <w:ilvl w:val="0"/>
                <w:numId w:val="7"/>
              </w:numPr>
              <w:suppressLineNumbers w:val="0"/>
              <w:bidi w:val="0"/>
              <w:spacing w:before="0" w:beforeAutospacing="off" w:after="0" w:afterAutospacing="off" w:line="240" w:lineRule="exact"/>
              <w:ind w:left="720" w:right="0" w:hanging="360"/>
              <w:jc w:val="left"/>
              <w:rPr>
                <w:noProof w:val="0"/>
                <w:lang w:val="en-US"/>
              </w:rPr>
            </w:pPr>
            <w:r w:rsidRPr="7FEEDFAD" w:rsidR="2A969212">
              <w:rPr>
                <w:rFonts w:ascii="Calibri" w:hAnsi="Calibri" w:eastAsia="Calibri" w:cs="Calibri"/>
                <w:b w:val="0"/>
                <w:bCs w:val="0"/>
                <w:i w:val="0"/>
                <w:iCs w:val="0"/>
                <w:color w:val="000000" w:themeColor="text1" w:themeTint="FF" w:themeShade="FF"/>
                <w:sz w:val="20"/>
                <w:szCs w:val="20"/>
                <w:lang w:eastAsia="en-US" w:bidi="ar-SA"/>
              </w:rPr>
              <w:t xml:space="preserve"> </w:t>
            </w:r>
            <w:r w:rsidRPr="7FEEDFAD" w:rsidR="6881C473">
              <w:rPr>
                <w:noProof w:val="0"/>
                <w:lang w:val="en-US"/>
              </w:rPr>
              <w:t xml:space="preserve">Took ownership of unstable deployment pipelines for a major telecom client and rewrote them using </w:t>
            </w:r>
            <w:r w:rsidRPr="7FEEDFAD" w:rsidR="6881C473">
              <w:rPr>
                <w:b w:val="1"/>
                <w:bCs w:val="1"/>
                <w:noProof w:val="0"/>
                <w:lang w:val="en-US"/>
              </w:rPr>
              <w:t>GitHub Actions + Terraform + Helm</w:t>
            </w:r>
            <w:r w:rsidRPr="7FEEDFAD" w:rsidR="6881C473">
              <w:rPr>
                <w:noProof w:val="0"/>
                <w:lang w:val="en-US"/>
              </w:rPr>
              <w:t>, reducing frequent pipeline failures by eliminating brittle shell scripts and introducing modular IaC patterns.</w:t>
            </w:r>
          </w:p>
          <w:p w:rsidR="004D4E50" w:rsidP="7FEEDFAD" w:rsidRDefault="00CC2921" w14:paraId="06D952ED" w14:textId="5B3EACBF">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Solved recurring network outages in the Kubernetes stack by implementing </w:t>
            </w:r>
            <w:r w:rsidRPr="7FEEDFAD" w:rsidR="6881C473">
              <w:rPr>
                <w:b w:val="1"/>
                <w:bCs w:val="1"/>
                <w:noProof w:val="0"/>
                <w:lang w:val="en-US"/>
              </w:rPr>
              <w:t>calico network policy automation</w:t>
            </w:r>
            <w:r w:rsidRPr="7FEEDFAD" w:rsidR="6881C473">
              <w:rPr>
                <w:noProof w:val="0"/>
                <w:lang w:val="en-US"/>
              </w:rPr>
              <w:t xml:space="preserve">, redesigning cluster ingress with </w:t>
            </w:r>
            <w:r w:rsidRPr="7FEEDFAD" w:rsidR="6881C473">
              <w:rPr>
                <w:b w:val="1"/>
                <w:bCs w:val="1"/>
                <w:noProof w:val="0"/>
                <w:lang w:val="en-US"/>
              </w:rPr>
              <w:t>NGINX + cert-manager</w:t>
            </w:r>
            <w:r w:rsidRPr="7FEEDFAD" w:rsidR="6881C473">
              <w:rPr>
                <w:noProof w:val="0"/>
                <w:lang w:val="en-US"/>
              </w:rPr>
              <w:t>, and introducing automated smoke tests to validate cluster health before releases.</w:t>
            </w:r>
          </w:p>
          <w:p w:rsidR="004D4E50" w:rsidP="7FEEDFAD" w:rsidRDefault="00CC2921" w14:paraId="1D8DBD61" w14:textId="256BA931">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Created a reusable “Telecom Deployment Accelerator” template using </w:t>
            </w:r>
            <w:r w:rsidRPr="7FEEDFAD" w:rsidR="6881C473">
              <w:rPr>
                <w:b w:val="1"/>
                <w:bCs w:val="1"/>
                <w:noProof w:val="0"/>
                <w:lang w:val="en-US"/>
              </w:rPr>
              <w:t>Terraform modules, Helm libraries, and GitOps</w:t>
            </w:r>
            <w:r w:rsidRPr="7FEEDFAD" w:rsidR="6881C473">
              <w:rPr>
                <w:noProof w:val="0"/>
                <w:lang w:val="en-US"/>
              </w:rPr>
              <w:t>, enabling new client environments to be spun up in minutes instead of manual multi-day provisioning.</w:t>
            </w:r>
          </w:p>
          <w:p w:rsidR="004D4E50" w:rsidP="7FEEDFAD" w:rsidRDefault="00CC2921" w14:paraId="0D78A2B4" w14:textId="6F0BDE8B">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Rebuilt a legacy Jenkins-based deployment flow into a cloud-native pipeline using </w:t>
            </w:r>
            <w:r w:rsidRPr="7FEEDFAD" w:rsidR="6881C473">
              <w:rPr>
                <w:b w:val="1"/>
                <w:bCs w:val="1"/>
                <w:noProof w:val="0"/>
                <w:lang w:val="en-US"/>
              </w:rPr>
              <w:t>GitLab CI</w:t>
            </w:r>
            <w:r w:rsidRPr="7FEEDFAD" w:rsidR="6881C473">
              <w:rPr>
                <w:noProof w:val="0"/>
                <w:lang w:val="en-US"/>
              </w:rPr>
              <w:t xml:space="preserve">, integrated service catalog approvals, and automated rollback rules using </w:t>
            </w:r>
            <w:r w:rsidRPr="7FEEDFAD" w:rsidR="6881C473">
              <w:rPr>
                <w:b w:val="1"/>
                <w:bCs w:val="1"/>
                <w:noProof w:val="0"/>
                <w:lang w:val="en-US"/>
              </w:rPr>
              <w:t>Argo CD</w:t>
            </w:r>
            <w:r w:rsidRPr="7FEEDFAD" w:rsidR="6881C473">
              <w:rPr>
                <w:noProof w:val="0"/>
                <w:lang w:val="en-US"/>
              </w:rPr>
              <w:t>, significantly reducing post-deployment drift.</w:t>
            </w:r>
          </w:p>
          <w:p w:rsidR="004D4E50" w:rsidP="7FEEDFAD" w:rsidRDefault="00CC2921" w14:paraId="66163DB3" w14:textId="194119ED">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Drove a major container optimization initiative by profiling telecom microservices with </w:t>
            </w:r>
            <w:r w:rsidRPr="7FEEDFAD" w:rsidR="6881C473">
              <w:rPr>
                <w:b w:val="1"/>
                <w:bCs w:val="1"/>
                <w:noProof w:val="0"/>
                <w:lang w:val="en-US"/>
              </w:rPr>
              <w:t>k8s metrics server + Datadog APM</w:t>
            </w:r>
            <w:r w:rsidRPr="7FEEDFAD" w:rsidR="6881C473">
              <w:rPr>
                <w:noProof w:val="0"/>
                <w:lang w:val="en-US"/>
              </w:rPr>
              <w:t>, identifying memory leaks, and working with developers to fix inefficient code paths that caused random pod evictions.</w:t>
            </w:r>
          </w:p>
          <w:p w:rsidR="004D4E50" w:rsidP="7FEEDFAD" w:rsidRDefault="00CC2921" w14:paraId="6043AE11" w14:textId="4461DE3F">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Introduced </w:t>
            </w:r>
            <w:r w:rsidRPr="7FEEDFAD" w:rsidR="6881C473">
              <w:rPr>
                <w:b w:val="1"/>
                <w:bCs w:val="1"/>
                <w:noProof w:val="0"/>
                <w:lang w:val="en-US"/>
              </w:rPr>
              <w:t>progressive delivery</w:t>
            </w:r>
            <w:r w:rsidRPr="7FEEDFAD" w:rsidR="6881C473">
              <w:rPr>
                <w:noProof w:val="0"/>
                <w:lang w:val="en-US"/>
              </w:rPr>
              <w:t xml:space="preserve"> using Argo Rollouts (canary + traffic shaping) for real-time telecom analytics services that could not tolerate downtime, enabling safe production testing during peak call-volume windows.</w:t>
            </w:r>
          </w:p>
          <w:p w:rsidR="004D4E50" w:rsidP="7FEEDFAD" w:rsidRDefault="00CC2921" w14:paraId="14CC1811" w14:textId="1162DE4A">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Recovered a critical client environment after a failed cluster upgrade by automating </w:t>
            </w:r>
            <w:r w:rsidRPr="7FEEDFAD" w:rsidR="6881C473">
              <w:rPr>
                <w:b w:val="1"/>
                <w:bCs w:val="1"/>
                <w:noProof w:val="0"/>
                <w:lang w:val="en-US"/>
              </w:rPr>
              <w:t>etcd snapshots</w:t>
            </w:r>
            <w:r w:rsidRPr="7FEEDFAD" w:rsidR="6881C473">
              <w:rPr>
                <w:noProof w:val="0"/>
                <w:lang w:val="en-US"/>
              </w:rPr>
              <w:t>, rebuilding worker nodes, and restoring state with a new HA control-plane, eventually turning the fix into a documented disaster recovery playbook.</w:t>
            </w:r>
          </w:p>
          <w:p w:rsidR="004D4E50" w:rsidP="7FEEDFAD" w:rsidRDefault="00CC2921" w14:paraId="268B4F57" w14:textId="3D237A49">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Improved secret management across telecom microservices by migrating hard-coded credentials into </w:t>
            </w:r>
            <w:r w:rsidRPr="7FEEDFAD" w:rsidR="6881C473">
              <w:rPr>
                <w:b w:val="1"/>
                <w:bCs w:val="1"/>
                <w:noProof w:val="0"/>
                <w:lang w:val="en-US"/>
              </w:rPr>
              <w:t>HashiCorp Vault</w:t>
            </w:r>
            <w:r w:rsidRPr="7FEEDFAD" w:rsidR="6881C473">
              <w:rPr>
                <w:noProof w:val="0"/>
                <w:lang w:val="en-US"/>
              </w:rPr>
              <w:t>, integrating rotating secrets into CI/CD, and validating compliance through automated policy checks.</w:t>
            </w:r>
          </w:p>
          <w:p w:rsidR="004D4E50" w:rsidP="7FEEDFAD" w:rsidRDefault="00CC2921" w14:paraId="3AD3823C" w14:textId="0A98C05F">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Implemented full-stack observability using </w:t>
            </w:r>
            <w:r w:rsidRPr="7FEEDFAD" w:rsidR="6881C473">
              <w:rPr>
                <w:b w:val="1"/>
                <w:bCs w:val="1"/>
                <w:noProof w:val="0"/>
                <w:lang w:val="en-US"/>
              </w:rPr>
              <w:t>OpenTelemetry + Prometheus + Grafana</w:t>
            </w:r>
            <w:r w:rsidRPr="7FEEDFAD" w:rsidR="6881C473">
              <w:rPr>
                <w:noProof w:val="0"/>
                <w:lang w:val="en-US"/>
              </w:rPr>
              <w:t>, creating service-level dashboards for packet-processing latency, Kafka throughput, and subscriber lookup failures to reduce MTTR for telecom incidents.</w:t>
            </w:r>
          </w:p>
          <w:p w:rsidR="004D4E50" w:rsidP="7FEEDFAD" w:rsidRDefault="00CC2921" w14:paraId="08F911C9" w14:textId="1720AEB7">
            <w:pPr>
              <w:pStyle w:val="ListParagraph"/>
              <w:numPr>
                <w:ilvl w:val="0"/>
                <w:numId w:val="7"/>
              </w:numPr>
              <w:suppressLineNumbers w:val="0"/>
              <w:bidi w:val="0"/>
              <w:spacing w:before="240" w:beforeAutospacing="off" w:after="240" w:afterAutospacing="off" w:line="240" w:lineRule="exact"/>
              <w:ind/>
              <w:rPr>
                <w:noProof w:val="0"/>
                <w:lang w:val="en-US"/>
              </w:rPr>
            </w:pPr>
            <w:r w:rsidRPr="7FEEDFAD" w:rsidR="6881C473">
              <w:rPr>
                <w:noProof w:val="0"/>
                <w:lang w:val="en-US"/>
              </w:rPr>
              <w:t xml:space="preserve">Collaborated with cross-functional telecom teams to containerize legacy batch processing jobs using </w:t>
            </w:r>
            <w:r w:rsidRPr="7FEEDFAD" w:rsidR="6881C473">
              <w:rPr>
                <w:b w:val="1"/>
                <w:bCs w:val="1"/>
                <w:noProof w:val="0"/>
                <w:lang w:val="en-US"/>
              </w:rPr>
              <w:t xml:space="preserve">Docker + Kubernetes Jobs + </w:t>
            </w:r>
            <w:r w:rsidRPr="7FEEDFAD" w:rsidR="3161F8B7">
              <w:rPr>
                <w:b w:val="1"/>
                <w:bCs w:val="1"/>
                <w:noProof w:val="0"/>
                <w:lang w:val="en-US"/>
              </w:rPr>
              <w:t>Cron Workflows</w:t>
            </w:r>
            <w:r w:rsidRPr="7FEEDFAD" w:rsidR="6881C473">
              <w:rPr>
                <w:noProof w:val="0"/>
                <w:lang w:val="en-US"/>
              </w:rPr>
              <w:t>, replacing unreliable VM-based schedulers and providing more deterministic execution patterns.</w:t>
            </w:r>
          </w:p>
          <w:p w:rsidR="004D4E50" w:rsidP="7FEEDFAD" w:rsidRDefault="00CC2921" w14:paraId="34BB8D35" w14:textId="3A7385C0">
            <w:pPr>
              <w:pStyle w:val="ListParagraph"/>
              <w:suppressLineNumbers w:val="0"/>
              <w:bidi w:val="0"/>
              <w:spacing w:before="0" w:beforeAutospacing="off" w:after="0" w:afterAutospacing="off" w:line="240" w:lineRule="exact"/>
              <w:ind w:left="720" w:right="0" w:hanging="360"/>
              <w:jc w:val="left"/>
              <w:rPr>
                <w:rFonts w:ascii="Calibri" w:hAnsi="Calibri" w:eastAsia="Calibri" w:cs="Calibri"/>
                <w:b w:val="0"/>
                <w:bCs w:val="0"/>
                <w:i w:val="0"/>
                <w:iCs w:val="0"/>
                <w:noProof w:val="0"/>
                <w:color w:val="000000" w:themeColor="text1" w:themeTint="FF" w:themeShade="FF"/>
                <w:sz w:val="20"/>
                <w:szCs w:val="20"/>
                <w:lang w:val="en-US" w:eastAsia="en-US" w:bidi="ar-SA"/>
              </w:rPr>
            </w:pPr>
          </w:p>
          <w:p w:rsidR="004D4E50" w:rsidP="05FDFA90" w:rsidRDefault="00CC2921" w14:paraId="2025E95B" w14:textId="4EF7D173">
            <w:pPr>
              <w:pStyle w:val="ListParagraph"/>
              <w:ind w:left="720"/>
              <w:rPr>
                <w:noProof w:val="0"/>
                <w:lang w:val="en-US"/>
              </w:rPr>
            </w:pPr>
          </w:p>
        </w:tc>
      </w:tr>
      <w:tr w:rsidR="000930DE" w:rsidTr="7FEEDFAD" w14:paraId="74777419" w14:textId="1C6499ED">
        <w:trPr>
          <w:trHeight w:val="675"/>
        </w:trPr>
        <w:tc>
          <w:tcPr>
            <w:tcW w:w="10080" w:type="dxa"/>
            <w:gridSpan w:val="3"/>
            <w:tcBorders>
              <w:top w:val="single" w:color="ACA8AA" w:themeColor="accent4" w:sz="24" w:space="0"/>
              <w:bottom w:val="single" w:color="ACA8AA" w:themeColor="accent4" w:sz="24" w:space="0"/>
            </w:tcBorders>
            <w:tcMar/>
          </w:tcPr>
          <w:p w:rsidR="00CC2921" w:rsidP="00CC2921" w:rsidRDefault="00CC2921" w14:paraId="2B2616B1" w14:textId="28ED22AC">
            <w:pPr>
              <w:pStyle w:val="Heading1"/>
            </w:pPr>
            <w:r w:rsidR="00CC2921">
              <w:rPr/>
              <w:t>Education</w:t>
            </w:r>
          </w:p>
          <w:p w:rsidR="000930DE" w:rsidP="61093596" w:rsidRDefault="00CC2921" w14:paraId="37466874" w14:textId="7267EA3A">
            <w:pPr>
              <w:numPr>
                <w:ilvl w:val="0"/>
                <w:numId w:val="0"/>
              </w:numPr>
              <w:spacing w:before="0" w:beforeAutospacing="off" w:after="0" w:afterAutospacing="off"/>
              <w:rPr>
                <w:rFonts w:ascii="Helvetica" w:hAnsi="Helvetica" w:eastAsia="Helvetica" w:cs="Helvetica"/>
                <w:b w:val="0"/>
                <w:bCs w:val="0"/>
                <w:i w:val="0"/>
                <w:iCs w:val="0"/>
                <w:noProof w:val="0"/>
                <w:color w:val="000000" w:themeColor="text1" w:themeTint="FF" w:themeShade="FF"/>
                <w:sz w:val="16"/>
                <w:szCs w:val="16"/>
                <w:lang w:val="en-US"/>
              </w:rPr>
            </w:pPr>
          </w:p>
          <w:p w:rsidR="000930DE" w:rsidP="05FDFA90" w:rsidRDefault="00CC2921" w14:paraId="76DD9204" w14:noSpellErr="1" w14:textId="0E8D4F49">
            <w:pPr>
              <w:spacing w:before="0" w:beforeAutospacing="off" w:after="0" w:afterAutospacing="off"/>
              <w:rPr>
                <w:rFonts w:ascii="Calibri" w:hAnsi="Calibri" w:eastAsia="Calibri" w:cs="Calibri"/>
                <w:b w:val="1"/>
                <w:bCs w:val="1"/>
                <w:i w:val="0"/>
                <w:iCs w:val="0"/>
                <w:noProof w:val="0"/>
                <w:color w:val="000000" w:themeColor="text1" w:themeTint="FF" w:themeShade="FF"/>
                <w:sz w:val="20"/>
                <w:szCs w:val="20"/>
                <w:lang w:val="en-US"/>
              </w:rPr>
            </w:pPr>
            <w:r w:rsidRPr="05FDFA90" w:rsidR="6E8E4029">
              <w:rPr>
                <w:rFonts w:ascii="Calibri" w:hAnsi="Calibri" w:eastAsia="Calibri" w:cs="Calibri"/>
                <w:b w:val="1"/>
                <w:bCs w:val="1"/>
                <w:i w:val="0"/>
                <w:iCs w:val="0"/>
                <w:noProof w:val="0"/>
                <w:color w:val="000000" w:themeColor="text1" w:themeTint="FF" w:themeShade="FF"/>
                <w:sz w:val="20"/>
                <w:szCs w:val="20"/>
                <w:lang w:val="en-US"/>
              </w:rPr>
              <w:t>Master's in data science</w:t>
            </w:r>
            <w:r w:rsidRPr="05FDFA90" w:rsidR="4BDEEDB4">
              <w:rPr>
                <w:rFonts w:ascii="Calibri" w:hAnsi="Calibri" w:eastAsia="Calibri" w:cs="Calibri"/>
                <w:b w:val="1"/>
                <w:bCs w:val="1"/>
                <w:i w:val="0"/>
                <w:iCs w:val="0"/>
                <w:noProof w:val="0"/>
                <w:color w:val="000000" w:themeColor="text1" w:themeTint="FF" w:themeShade="FF"/>
                <w:sz w:val="20"/>
                <w:szCs w:val="20"/>
                <w:lang w:val="en-US"/>
              </w:rPr>
              <w:t xml:space="preserve"> and applications</w:t>
            </w:r>
          </w:p>
          <w:p w:rsidR="000930DE" w:rsidP="05FDFA90" w:rsidRDefault="00CC2921" w14:paraId="1897B110" w14:noSpellErr="1" w14:textId="49B1C973">
            <w:pPr>
              <w:pStyle w:val="Normal"/>
              <w:spacing w:before="0" w:beforeAutospacing="off" w:after="0" w:afterAutospacing="off"/>
              <w:rPr>
                <w:rFonts w:ascii="Helvetica" w:hAnsi="Helvetica" w:eastAsia="Helvetica" w:cs="Helvetica"/>
                <w:b w:val="0"/>
                <w:bCs w:val="0"/>
                <w:i w:val="0"/>
                <w:iCs w:val="0"/>
                <w:noProof w:val="0"/>
                <w:color w:val="000000" w:themeColor="text1" w:themeTint="FF" w:themeShade="FF"/>
                <w:sz w:val="16"/>
                <w:szCs w:val="16"/>
                <w:lang w:val="en-US"/>
              </w:rPr>
            </w:pPr>
            <w:r w:rsidRPr="05FDFA90" w:rsidR="23F49545">
              <w:rPr>
                <w:rFonts w:ascii="Calibri" w:hAnsi="Calibri" w:eastAsia="Calibri" w:cs="Calibri"/>
                <w:b w:val="0"/>
                <w:bCs w:val="0"/>
                <w:i w:val="0"/>
                <w:iCs w:val="0"/>
                <w:noProof w:val="0"/>
                <w:color w:val="000000" w:themeColor="text1" w:themeTint="FF" w:themeShade="FF"/>
                <w:sz w:val="20"/>
                <w:szCs w:val="20"/>
                <w:lang w:val="en-US"/>
              </w:rPr>
              <w:t>University at Buffalo, The State University of New York</w:t>
            </w:r>
            <w:r w:rsidRPr="05FDFA90" w:rsidR="4CFE28DB">
              <w:rPr>
                <w:rFonts w:ascii="Calibri" w:hAnsi="Calibri" w:eastAsia="Calibri" w:cs="Calibri"/>
                <w:b w:val="0"/>
                <w:bCs w:val="0"/>
                <w:i w:val="0"/>
                <w:iCs w:val="0"/>
                <w:noProof w:val="0"/>
                <w:color w:val="000000" w:themeColor="text1" w:themeTint="FF" w:themeShade="FF"/>
                <w:sz w:val="20"/>
                <w:szCs w:val="20"/>
                <w:lang w:val="en-US"/>
              </w:rPr>
              <w:t xml:space="preserve">                                  </w:t>
            </w:r>
          </w:p>
          <w:p w:rsidR="000930DE" w:rsidP="61093596" w:rsidRDefault="00CC2921" w14:paraId="5B770CED" w14:textId="55797ED1">
            <w:pPr>
              <w:pStyle w:val="ListBullet"/>
              <w:numPr>
                <w:ilvl w:val="0"/>
                <w:numId w:val="0"/>
              </w:numPr>
            </w:pPr>
          </w:p>
        </w:tc>
      </w:tr>
    </w:tbl>
    <w:p w:rsidRPr="00643E15" w:rsidR="00643E15" w:rsidP="008B4069" w:rsidRDefault="00643E15" w14:paraId="70B3209D" w14:textId="77777777">
      <w:pPr>
        <w:pStyle w:val="ListBullet"/>
        <w:numPr>
          <w:ilvl w:val="0"/>
          <w:numId w:val="0"/>
        </w:numPr>
      </w:pPr>
    </w:p>
    <w:sectPr w:rsidRPr="00643E15" w:rsidR="00643E15" w:rsidSect="001D4099">
      <w:type w:val="continuous"/>
      <w:pgSz w:w="12240" w:h="15840" w:orient="portrait"/>
      <w:pgMar w:top="99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sdtfl="http://schemas.microsoft.com/office/word/2024/wordml/sdtformatlock" mc:Ignorable="w14 w15 w16se w16cid w16 w16cex w16sdtdh w16du wp14 w16sdtfl">
  <w:endnote w:type="separator" w:id="-1">
    <w:p w:rsidR="00FF0475" w:rsidP="001D4099" w:rsidRDefault="00FF0475" w14:paraId="213D7467" w14:textId="77777777">
      <w:pPr>
        <w:spacing w:line="240" w:lineRule="auto"/>
      </w:pPr>
      <w:r>
        <w:separator/>
      </w:r>
    </w:p>
  </w:endnote>
  <w:endnote w:type="continuationSeparator" w:id="0">
    <w:p w:rsidR="00FF0475" w:rsidP="001D4099" w:rsidRDefault="00FF0475" w14:paraId="2596CE0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14="http://schemas.microsoft.com/office/word/2010/wordprocessingDrawing" xmlns:w16sdtfl="http://schemas.microsoft.com/office/word/2024/wordml/sdtformatlock" mc:Ignorable="w14 w15 w16se w16cid w16 w16cex w16sdtdh w16du wp14 w16sdtfl">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sdtfl="http://schemas.microsoft.com/office/word/2024/wordml/sdtformatlock" mc:Ignorable="w14 w15 w16se w16cid w16 w16cex w16sdtdh w16du wp14 w16sdtfl">
  <w:footnote w:type="separator" w:id="-1">
    <w:p w:rsidR="00FF0475" w:rsidP="001D4099" w:rsidRDefault="00FF0475" w14:paraId="392C2420" w14:textId="77777777">
      <w:pPr>
        <w:spacing w:line="240" w:lineRule="auto"/>
      </w:pPr>
      <w:r>
        <w:separator/>
      </w:r>
    </w:p>
  </w:footnote>
  <w:footnote w:type="continuationSeparator" w:id="0">
    <w:p w:rsidR="00FF0475" w:rsidP="001D4099" w:rsidRDefault="00FF0475" w14:paraId="6475C515"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
    <w:nsid w:val="eea87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7ef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238bd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BE461126"/>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9FD4007"/>
    <w:multiLevelType w:val="multilevel"/>
    <w:tmpl w:val="79F4F232"/>
    <w:lvl w:ilvl="0">
      <w:start w:val="1"/>
      <w:numFmt w:val="bullet"/>
      <w:pStyle w:val="ListBullet"/>
      <w:lvlText w:val=""/>
      <w:lvlJc w:val="left"/>
      <w:pPr>
        <w:ind w:left="360" w:hanging="360"/>
      </w:pPr>
      <w:rPr>
        <w:rFonts w:hint="default" w:ascii="Symbol" w:hAnsi="Symbol"/>
        <w:color w:val="000000" w:themeColor="text1"/>
        <w:sz w:val="24"/>
      </w:rPr>
    </w:lvl>
    <w:lvl w:ilvl="1">
      <w:start w:val="1"/>
      <w:numFmt w:val="bullet"/>
      <w:lvlText w:val="o"/>
      <w:lvlJc w:val="left"/>
      <w:pPr>
        <w:ind w:left="720" w:hanging="360"/>
      </w:pPr>
      <w:rPr>
        <w:rFonts w:hint="default" w:ascii="Courier New" w:hAnsi="Courier New"/>
        <w:color w:val="925D34" w:themeColor="accent1"/>
        <w:sz w:val="24"/>
      </w:rPr>
    </w:lvl>
    <w:lvl w:ilvl="2">
      <w:start w:val="1"/>
      <w:numFmt w:val="bullet"/>
      <w:lvlText w:val=""/>
      <w:lvlJc w:val="left"/>
      <w:pPr>
        <w:ind w:left="1080" w:hanging="360"/>
      </w:pPr>
      <w:rPr>
        <w:rFonts w:hint="default" w:ascii="Wingdings" w:hAnsi="Wingdings"/>
        <w:color w:val="925D34" w:themeColor="accent1"/>
        <w:sz w:val="24"/>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2"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7">
    <w:abstractNumId w:val="6"/>
  </w:num>
  <w:num w:numId="6">
    <w:abstractNumId w:val="5"/>
  </w:num>
  <w:num w:numId="5">
    <w:abstractNumId w:val="4"/>
  </w:num>
  <w:num w:numId="1" w16cid:durableId="274949343">
    <w:abstractNumId w:val="1"/>
  </w:num>
  <w:num w:numId="2" w16cid:durableId="1475752314">
    <w:abstractNumId w:val="3"/>
  </w:num>
  <w:num w:numId="3" w16cid:durableId="1017973236">
    <w:abstractNumId w:val="2"/>
  </w:num>
  <w:num w:numId="4" w16cid:durableId="117823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xmlns:wp14="http://schemas.microsoft.com/office/word/2010/wordprocessingDrawing" xmlns:w16sdtfl="http://schemas.microsoft.com/office/word/2024/wordml/sdtformatlock" mc:Ignorable="w14 w15 w16se w16cid w16 w16cex w16sdtdh w16du wp14 w16sdtfl">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09"/>
    <w:rsid w:val="00005622"/>
    <w:rsid w:val="000524A9"/>
    <w:rsid w:val="000728A9"/>
    <w:rsid w:val="000761F2"/>
    <w:rsid w:val="0008DD11"/>
    <w:rsid w:val="000930DE"/>
    <w:rsid w:val="00094536"/>
    <w:rsid w:val="000A1AB8"/>
    <w:rsid w:val="000E1FE9"/>
    <w:rsid w:val="00180710"/>
    <w:rsid w:val="001D4099"/>
    <w:rsid w:val="001D7755"/>
    <w:rsid w:val="002203E2"/>
    <w:rsid w:val="00222532"/>
    <w:rsid w:val="00285F5A"/>
    <w:rsid w:val="002C06D6"/>
    <w:rsid w:val="002F5D6D"/>
    <w:rsid w:val="0030456C"/>
    <w:rsid w:val="00382EA8"/>
    <w:rsid w:val="003F1B98"/>
    <w:rsid w:val="004303D4"/>
    <w:rsid w:val="00431E72"/>
    <w:rsid w:val="00437E49"/>
    <w:rsid w:val="004A0E63"/>
    <w:rsid w:val="004D2889"/>
    <w:rsid w:val="004D4E50"/>
    <w:rsid w:val="004F1D64"/>
    <w:rsid w:val="00510684"/>
    <w:rsid w:val="005937B7"/>
    <w:rsid w:val="005F56A3"/>
    <w:rsid w:val="00615397"/>
    <w:rsid w:val="0062563D"/>
    <w:rsid w:val="00643E15"/>
    <w:rsid w:val="006D15E3"/>
    <w:rsid w:val="006F747B"/>
    <w:rsid w:val="00780B8E"/>
    <w:rsid w:val="007A6961"/>
    <w:rsid w:val="007B4E11"/>
    <w:rsid w:val="007E2006"/>
    <w:rsid w:val="007E3DA2"/>
    <w:rsid w:val="00823601"/>
    <w:rsid w:val="00860CC3"/>
    <w:rsid w:val="00867C58"/>
    <w:rsid w:val="00884806"/>
    <w:rsid w:val="00886679"/>
    <w:rsid w:val="008B4069"/>
    <w:rsid w:val="008D169E"/>
    <w:rsid w:val="00975E79"/>
    <w:rsid w:val="009D1FF3"/>
    <w:rsid w:val="00A30F99"/>
    <w:rsid w:val="00A40DEC"/>
    <w:rsid w:val="00A64FA3"/>
    <w:rsid w:val="00A66AFF"/>
    <w:rsid w:val="00AD79E9"/>
    <w:rsid w:val="00B24E0D"/>
    <w:rsid w:val="00C35EF0"/>
    <w:rsid w:val="00CC0FFE"/>
    <w:rsid w:val="00CC2921"/>
    <w:rsid w:val="00CE3B09"/>
    <w:rsid w:val="00D86211"/>
    <w:rsid w:val="00D92978"/>
    <w:rsid w:val="00EA604D"/>
    <w:rsid w:val="00EB5966"/>
    <w:rsid w:val="00EE5D12"/>
    <w:rsid w:val="00F255EB"/>
    <w:rsid w:val="00F42731"/>
    <w:rsid w:val="00F55940"/>
    <w:rsid w:val="00F62BAE"/>
    <w:rsid w:val="00F92CA8"/>
    <w:rsid w:val="00F9618D"/>
    <w:rsid w:val="00FA3628"/>
    <w:rsid w:val="00FF0475"/>
    <w:rsid w:val="012BA9CA"/>
    <w:rsid w:val="0134525A"/>
    <w:rsid w:val="0181649D"/>
    <w:rsid w:val="01846A65"/>
    <w:rsid w:val="01EFD263"/>
    <w:rsid w:val="032E9FEF"/>
    <w:rsid w:val="03312A48"/>
    <w:rsid w:val="04ADE130"/>
    <w:rsid w:val="04EDF10A"/>
    <w:rsid w:val="04FF6870"/>
    <w:rsid w:val="05720BD0"/>
    <w:rsid w:val="05EB6FB7"/>
    <w:rsid w:val="05FDFA90"/>
    <w:rsid w:val="061E326B"/>
    <w:rsid w:val="064B7C87"/>
    <w:rsid w:val="06711165"/>
    <w:rsid w:val="06FE17F4"/>
    <w:rsid w:val="07236C92"/>
    <w:rsid w:val="07648D81"/>
    <w:rsid w:val="077CCE04"/>
    <w:rsid w:val="078F3AD2"/>
    <w:rsid w:val="07F41E71"/>
    <w:rsid w:val="081AD067"/>
    <w:rsid w:val="082A48CD"/>
    <w:rsid w:val="083A8C29"/>
    <w:rsid w:val="086451D9"/>
    <w:rsid w:val="0864ED05"/>
    <w:rsid w:val="09694A11"/>
    <w:rsid w:val="098BCF73"/>
    <w:rsid w:val="09D557B6"/>
    <w:rsid w:val="09F61503"/>
    <w:rsid w:val="0A097CC0"/>
    <w:rsid w:val="0AE3E091"/>
    <w:rsid w:val="0AE4C7B5"/>
    <w:rsid w:val="0B903CC7"/>
    <w:rsid w:val="0BCB1B92"/>
    <w:rsid w:val="0BD9281E"/>
    <w:rsid w:val="0BDCA0B6"/>
    <w:rsid w:val="0C082EC1"/>
    <w:rsid w:val="0C1F0BCE"/>
    <w:rsid w:val="0C8F8833"/>
    <w:rsid w:val="0D47B84C"/>
    <w:rsid w:val="0D955DE6"/>
    <w:rsid w:val="0DBF39A4"/>
    <w:rsid w:val="0E1B8B4F"/>
    <w:rsid w:val="0E22B4D6"/>
    <w:rsid w:val="0E4187A1"/>
    <w:rsid w:val="0E6C88D2"/>
    <w:rsid w:val="0EB80426"/>
    <w:rsid w:val="0F5A57ED"/>
    <w:rsid w:val="0F7BB03B"/>
    <w:rsid w:val="0F9B651B"/>
    <w:rsid w:val="0FB5A1DE"/>
    <w:rsid w:val="0FD5434A"/>
    <w:rsid w:val="0FDD691D"/>
    <w:rsid w:val="102ACA03"/>
    <w:rsid w:val="1067967C"/>
    <w:rsid w:val="10B3A3FA"/>
    <w:rsid w:val="10D2A61E"/>
    <w:rsid w:val="114FE740"/>
    <w:rsid w:val="1164F16C"/>
    <w:rsid w:val="11917463"/>
    <w:rsid w:val="11961C1C"/>
    <w:rsid w:val="1250B800"/>
    <w:rsid w:val="1296D964"/>
    <w:rsid w:val="12A34674"/>
    <w:rsid w:val="12B7B6D4"/>
    <w:rsid w:val="12BD7CD4"/>
    <w:rsid w:val="12CED55D"/>
    <w:rsid w:val="12DCEFAF"/>
    <w:rsid w:val="12F36070"/>
    <w:rsid w:val="1354CFC7"/>
    <w:rsid w:val="1384D842"/>
    <w:rsid w:val="142954FC"/>
    <w:rsid w:val="1495ACBA"/>
    <w:rsid w:val="152EFA4B"/>
    <w:rsid w:val="1546B70B"/>
    <w:rsid w:val="158CA872"/>
    <w:rsid w:val="16485D99"/>
    <w:rsid w:val="16533519"/>
    <w:rsid w:val="1696D7EC"/>
    <w:rsid w:val="17F88748"/>
    <w:rsid w:val="1865B31B"/>
    <w:rsid w:val="1910EE11"/>
    <w:rsid w:val="1993E947"/>
    <w:rsid w:val="19C2F8C9"/>
    <w:rsid w:val="1A2A56D6"/>
    <w:rsid w:val="1AB684A7"/>
    <w:rsid w:val="1AC344F7"/>
    <w:rsid w:val="1AD6EC65"/>
    <w:rsid w:val="1B15FB77"/>
    <w:rsid w:val="1B745A27"/>
    <w:rsid w:val="1B86CB82"/>
    <w:rsid w:val="1BD66392"/>
    <w:rsid w:val="1BE69B88"/>
    <w:rsid w:val="1C0A007F"/>
    <w:rsid w:val="1C484DFA"/>
    <w:rsid w:val="1C840391"/>
    <w:rsid w:val="1D38FA5F"/>
    <w:rsid w:val="1D9DF143"/>
    <w:rsid w:val="1DCC1B50"/>
    <w:rsid w:val="1DF6D697"/>
    <w:rsid w:val="1E723B88"/>
    <w:rsid w:val="1E88E404"/>
    <w:rsid w:val="1EABDC1A"/>
    <w:rsid w:val="1F524C37"/>
    <w:rsid w:val="1F5D9422"/>
    <w:rsid w:val="1FBC8125"/>
    <w:rsid w:val="1FD79EAD"/>
    <w:rsid w:val="2112532A"/>
    <w:rsid w:val="215824F8"/>
    <w:rsid w:val="2188327E"/>
    <w:rsid w:val="21CC684B"/>
    <w:rsid w:val="21E14E6C"/>
    <w:rsid w:val="22E13A9B"/>
    <w:rsid w:val="23B63087"/>
    <w:rsid w:val="23BE125C"/>
    <w:rsid w:val="23C458BF"/>
    <w:rsid w:val="23C624BF"/>
    <w:rsid w:val="23F49545"/>
    <w:rsid w:val="247D7751"/>
    <w:rsid w:val="24CBBD72"/>
    <w:rsid w:val="24FE4507"/>
    <w:rsid w:val="2538FFC4"/>
    <w:rsid w:val="2651DB4F"/>
    <w:rsid w:val="26791A6E"/>
    <w:rsid w:val="269A106F"/>
    <w:rsid w:val="26A299F3"/>
    <w:rsid w:val="2735BE7C"/>
    <w:rsid w:val="273FC32C"/>
    <w:rsid w:val="276FE906"/>
    <w:rsid w:val="278931D0"/>
    <w:rsid w:val="27AD7F0C"/>
    <w:rsid w:val="27C2FA7F"/>
    <w:rsid w:val="27E5A9B8"/>
    <w:rsid w:val="289BB048"/>
    <w:rsid w:val="28C499D6"/>
    <w:rsid w:val="28C6A084"/>
    <w:rsid w:val="28D011B4"/>
    <w:rsid w:val="296CA7CB"/>
    <w:rsid w:val="2982E73A"/>
    <w:rsid w:val="29AE13D0"/>
    <w:rsid w:val="29FB9CDF"/>
    <w:rsid w:val="2A081A63"/>
    <w:rsid w:val="2A89C09D"/>
    <w:rsid w:val="2A969212"/>
    <w:rsid w:val="2B33E870"/>
    <w:rsid w:val="2B98FFE6"/>
    <w:rsid w:val="2BAA82E2"/>
    <w:rsid w:val="2BC58B2C"/>
    <w:rsid w:val="2C9DF8BB"/>
    <w:rsid w:val="2CA9BC23"/>
    <w:rsid w:val="2DC94622"/>
    <w:rsid w:val="2DFCCE35"/>
    <w:rsid w:val="2E0CBD65"/>
    <w:rsid w:val="2E1FFB44"/>
    <w:rsid w:val="2E8538E0"/>
    <w:rsid w:val="2EF3BE53"/>
    <w:rsid w:val="2F918E03"/>
    <w:rsid w:val="2FCF3217"/>
    <w:rsid w:val="2FE0AA0C"/>
    <w:rsid w:val="3092B6AB"/>
    <w:rsid w:val="30A36A62"/>
    <w:rsid w:val="30AC3CE3"/>
    <w:rsid w:val="3161F8B7"/>
    <w:rsid w:val="319F088D"/>
    <w:rsid w:val="31BD280F"/>
    <w:rsid w:val="31C2B5DE"/>
    <w:rsid w:val="322EB3AC"/>
    <w:rsid w:val="328D04FA"/>
    <w:rsid w:val="32A0F89A"/>
    <w:rsid w:val="33165E9F"/>
    <w:rsid w:val="3324F73D"/>
    <w:rsid w:val="332B1BE7"/>
    <w:rsid w:val="334847BF"/>
    <w:rsid w:val="336B7C1E"/>
    <w:rsid w:val="3377B530"/>
    <w:rsid w:val="33BE4E7A"/>
    <w:rsid w:val="342123B1"/>
    <w:rsid w:val="34496FB3"/>
    <w:rsid w:val="3488DC44"/>
    <w:rsid w:val="34A0A474"/>
    <w:rsid w:val="34AD9D68"/>
    <w:rsid w:val="34EDC76A"/>
    <w:rsid w:val="3529AB9E"/>
    <w:rsid w:val="35BC4015"/>
    <w:rsid w:val="369D1FA5"/>
    <w:rsid w:val="369D1FA5"/>
    <w:rsid w:val="36ADDD32"/>
    <w:rsid w:val="36B2C2C6"/>
    <w:rsid w:val="36CB88B3"/>
    <w:rsid w:val="370903AD"/>
    <w:rsid w:val="3710A09D"/>
    <w:rsid w:val="379C337B"/>
    <w:rsid w:val="38C4984F"/>
    <w:rsid w:val="38F8DDBF"/>
    <w:rsid w:val="3903008E"/>
    <w:rsid w:val="391DC184"/>
    <w:rsid w:val="39394898"/>
    <w:rsid w:val="39850D5A"/>
    <w:rsid w:val="398D3B38"/>
    <w:rsid w:val="39D80B07"/>
    <w:rsid w:val="3A9BB90F"/>
    <w:rsid w:val="3AC2E13B"/>
    <w:rsid w:val="3ADFB766"/>
    <w:rsid w:val="3B2F081E"/>
    <w:rsid w:val="3CD07150"/>
    <w:rsid w:val="3CF9A332"/>
    <w:rsid w:val="3D68CBD4"/>
    <w:rsid w:val="3D893733"/>
    <w:rsid w:val="3E2FB574"/>
    <w:rsid w:val="3EC1A089"/>
    <w:rsid w:val="3FD04E8D"/>
    <w:rsid w:val="3FD3DD20"/>
    <w:rsid w:val="402662A6"/>
    <w:rsid w:val="4068027E"/>
    <w:rsid w:val="410781AD"/>
    <w:rsid w:val="41BF5035"/>
    <w:rsid w:val="427E4283"/>
    <w:rsid w:val="42FE1D14"/>
    <w:rsid w:val="4302325F"/>
    <w:rsid w:val="43647585"/>
    <w:rsid w:val="43B18454"/>
    <w:rsid w:val="43B58DE5"/>
    <w:rsid w:val="43C87A97"/>
    <w:rsid w:val="4493C547"/>
    <w:rsid w:val="455DA354"/>
    <w:rsid w:val="45AF6C36"/>
    <w:rsid w:val="45BE36B5"/>
    <w:rsid w:val="45CE5342"/>
    <w:rsid w:val="45CF66BB"/>
    <w:rsid w:val="45D9D68E"/>
    <w:rsid w:val="45E7439D"/>
    <w:rsid w:val="46EEC1DB"/>
    <w:rsid w:val="4721C295"/>
    <w:rsid w:val="475F1AF9"/>
    <w:rsid w:val="47D0C352"/>
    <w:rsid w:val="47DED5FF"/>
    <w:rsid w:val="48362980"/>
    <w:rsid w:val="489C4693"/>
    <w:rsid w:val="48B3E273"/>
    <w:rsid w:val="48CEACA2"/>
    <w:rsid w:val="493D5DA9"/>
    <w:rsid w:val="49B047E2"/>
    <w:rsid w:val="4A0FFF00"/>
    <w:rsid w:val="4A3ADBCE"/>
    <w:rsid w:val="4A915CF2"/>
    <w:rsid w:val="4AB57009"/>
    <w:rsid w:val="4B6F7E8D"/>
    <w:rsid w:val="4B8FD868"/>
    <w:rsid w:val="4B9DDFC1"/>
    <w:rsid w:val="4BDEEDB4"/>
    <w:rsid w:val="4C64F502"/>
    <w:rsid w:val="4CFE28DB"/>
    <w:rsid w:val="4D5FD06A"/>
    <w:rsid w:val="4D9FC01E"/>
    <w:rsid w:val="4E274625"/>
    <w:rsid w:val="4E3333E0"/>
    <w:rsid w:val="4E4BF5C1"/>
    <w:rsid w:val="4E8BBE15"/>
    <w:rsid w:val="4E9F631A"/>
    <w:rsid w:val="4EB04A56"/>
    <w:rsid w:val="4EE8D0FE"/>
    <w:rsid w:val="4F44B710"/>
    <w:rsid w:val="5018CCD1"/>
    <w:rsid w:val="503653A9"/>
    <w:rsid w:val="5087366B"/>
    <w:rsid w:val="51275D03"/>
    <w:rsid w:val="5127EBE7"/>
    <w:rsid w:val="51716A32"/>
    <w:rsid w:val="5195B485"/>
    <w:rsid w:val="51BF1CCD"/>
    <w:rsid w:val="52F4C9B0"/>
    <w:rsid w:val="541C770C"/>
    <w:rsid w:val="541E1566"/>
    <w:rsid w:val="549E040E"/>
    <w:rsid w:val="54BF2399"/>
    <w:rsid w:val="5514C325"/>
    <w:rsid w:val="551BFD82"/>
    <w:rsid w:val="560C220D"/>
    <w:rsid w:val="5644FBA9"/>
    <w:rsid w:val="567E3B9B"/>
    <w:rsid w:val="56CFC441"/>
    <w:rsid w:val="56D09D68"/>
    <w:rsid w:val="5717F4AF"/>
    <w:rsid w:val="5745C630"/>
    <w:rsid w:val="5775D2ED"/>
    <w:rsid w:val="57A5ACE3"/>
    <w:rsid w:val="57DFC3CA"/>
    <w:rsid w:val="580888C0"/>
    <w:rsid w:val="58278D19"/>
    <w:rsid w:val="583E9F0C"/>
    <w:rsid w:val="5858E2EE"/>
    <w:rsid w:val="5887461A"/>
    <w:rsid w:val="58BC47E3"/>
    <w:rsid w:val="59129A83"/>
    <w:rsid w:val="599CC607"/>
    <w:rsid w:val="5B31FE4C"/>
    <w:rsid w:val="5B4471A1"/>
    <w:rsid w:val="5B5EE2F2"/>
    <w:rsid w:val="5B9472FE"/>
    <w:rsid w:val="5BF434AB"/>
    <w:rsid w:val="5C39BF1B"/>
    <w:rsid w:val="5C5A7DA1"/>
    <w:rsid w:val="5C746BD6"/>
    <w:rsid w:val="5CB6FEF2"/>
    <w:rsid w:val="5D0AF260"/>
    <w:rsid w:val="5D18805A"/>
    <w:rsid w:val="5D22C94E"/>
    <w:rsid w:val="5D761BE2"/>
    <w:rsid w:val="5E3C5127"/>
    <w:rsid w:val="5E84E29F"/>
    <w:rsid w:val="5EB5851F"/>
    <w:rsid w:val="5EE28733"/>
    <w:rsid w:val="5F459413"/>
    <w:rsid w:val="5F652E23"/>
    <w:rsid w:val="5FBA9B47"/>
    <w:rsid w:val="5FBD633B"/>
    <w:rsid w:val="5FC982E5"/>
    <w:rsid w:val="60BE10E6"/>
    <w:rsid w:val="60C18BF8"/>
    <w:rsid w:val="60F7BF09"/>
    <w:rsid w:val="60FBF1DC"/>
    <w:rsid w:val="61093596"/>
    <w:rsid w:val="610BA170"/>
    <w:rsid w:val="616C1676"/>
    <w:rsid w:val="616E849E"/>
    <w:rsid w:val="6198B8B8"/>
    <w:rsid w:val="6232C98D"/>
    <w:rsid w:val="626390E1"/>
    <w:rsid w:val="6264289E"/>
    <w:rsid w:val="628866E1"/>
    <w:rsid w:val="628E4694"/>
    <w:rsid w:val="62E97E84"/>
    <w:rsid w:val="63387500"/>
    <w:rsid w:val="636FE8CC"/>
    <w:rsid w:val="6379FEB2"/>
    <w:rsid w:val="639232DC"/>
    <w:rsid w:val="639429AF"/>
    <w:rsid w:val="6395E772"/>
    <w:rsid w:val="63D87FE0"/>
    <w:rsid w:val="63F87DA6"/>
    <w:rsid w:val="646B16B0"/>
    <w:rsid w:val="64A5A881"/>
    <w:rsid w:val="65726E1B"/>
    <w:rsid w:val="65B435C2"/>
    <w:rsid w:val="6601FBB5"/>
    <w:rsid w:val="6695A973"/>
    <w:rsid w:val="6723CFD7"/>
    <w:rsid w:val="6743526A"/>
    <w:rsid w:val="67D3E73E"/>
    <w:rsid w:val="6800E847"/>
    <w:rsid w:val="6834ED32"/>
    <w:rsid w:val="6874CD57"/>
    <w:rsid w:val="6881C473"/>
    <w:rsid w:val="68D02BB8"/>
    <w:rsid w:val="6960B5E0"/>
    <w:rsid w:val="6974A759"/>
    <w:rsid w:val="69E42958"/>
    <w:rsid w:val="69E4E86A"/>
    <w:rsid w:val="69F2D1CE"/>
    <w:rsid w:val="6A39346C"/>
    <w:rsid w:val="6A550BBB"/>
    <w:rsid w:val="6A69BF3D"/>
    <w:rsid w:val="6AB743CB"/>
    <w:rsid w:val="6ABA6CB3"/>
    <w:rsid w:val="6AFAA069"/>
    <w:rsid w:val="6B048445"/>
    <w:rsid w:val="6B6D9244"/>
    <w:rsid w:val="6BB47A72"/>
    <w:rsid w:val="6BE03E4D"/>
    <w:rsid w:val="6D215443"/>
    <w:rsid w:val="6D25164A"/>
    <w:rsid w:val="6D5AE530"/>
    <w:rsid w:val="6D9CB0DD"/>
    <w:rsid w:val="6DA41878"/>
    <w:rsid w:val="6E187BA4"/>
    <w:rsid w:val="6E5F864E"/>
    <w:rsid w:val="6E7BE468"/>
    <w:rsid w:val="6E8E4029"/>
    <w:rsid w:val="6E8EA1B5"/>
    <w:rsid w:val="6F7D12F0"/>
    <w:rsid w:val="6F84185A"/>
    <w:rsid w:val="6FAFE693"/>
    <w:rsid w:val="6FEF36E9"/>
    <w:rsid w:val="703934DA"/>
    <w:rsid w:val="70423738"/>
    <w:rsid w:val="70B8DF33"/>
    <w:rsid w:val="70C78026"/>
    <w:rsid w:val="70DA40FE"/>
    <w:rsid w:val="71488A0E"/>
    <w:rsid w:val="72212096"/>
    <w:rsid w:val="724D3D43"/>
    <w:rsid w:val="726789DF"/>
    <w:rsid w:val="727DCF1F"/>
    <w:rsid w:val="729CF2B5"/>
    <w:rsid w:val="732A1B7C"/>
    <w:rsid w:val="73D0CC65"/>
    <w:rsid w:val="73FDA016"/>
    <w:rsid w:val="7435661E"/>
    <w:rsid w:val="74BF0CFF"/>
    <w:rsid w:val="75004434"/>
    <w:rsid w:val="755A4359"/>
    <w:rsid w:val="75FA6680"/>
    <w:rsid w:val="76512ED5"/>
    <w:rsid w:val="7769F42D"/>
    <w:rsid w:val="77C2E8E8"/>
    <w:rsid w:val="77CB7149"/>
    <w:rsid w:val="77D09F7F"/>
    <w:rsid w:val="780142B8"/>
    <w:rsid w:val="78559BCC"/>
    <w:rsid w:val="78A5B991"/>
    <w:rsid w:val="78D2FEFE"/>
    <w:rsid w:val="79D8FCE3"/>
    <w:rsid w:val="7C447307"/>
    <w:rsid w:val="7C9475BE"/>
    <w:rsid w:val="7D2C62E6"/>
    <w:rsid w:val="7DA06B47"/>
    <w:rsid w:val="7DA131F1"/>
    <w:rsid w:val="7DBD0396"/>
    <w:rsid w:val="7DCA66E9"/>
    <w:rsid w:val="7E244AC3"/>
    <w:rsid w:val="7EF214E2"/>
    <w:rsid w:val="7F2B4229"/>
    <w:rsid w:val="7FEED5AC"/>
    <w:rsid w:val="7FEED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F5C1"/>
  <w15:chartTrackingRefBased/>
  <w15:docId w15:val="{2870AD3C-A161-4793-AF7D-B3D5E90F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14="http://schemas.microsoft.com/office/word/2010/wordprocessingDrawing" xmlns:w16sdtfl="http://schemas.microsoft.com/office/word/2024/wordml/sdtformatlock" mc:Ignorable="w14 w15 w16se w16cid w16 w16cex w16sdtdh w16du wp14 w16sdtfl">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semiHidden="1"/>
    <w:lsdException w:name="Emphasis" w:uiPriority="20"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4FA3"/>
    <w:pPr>
      <w:spacing w:line="240" w:lineRule="exact"/>
    </w:pPr>
    <w:rPr>
      <w:color w:val="404040" w:themeColor="text1" w:themeTint="BF"/>
      <w:sz w:val="20"/>
      <w:szCs w:val="22"/>
    </w:rPr>
  </w:style>
  <w:style w:type="paragraph" w:styleId="Heading1">
    <w:name w:val="heading 1"/>
    <w:basedOn w:val="Normal"/>
    <w:next w:val="Normal"/>
    <w:link w:val="Heading1Char"/>
    <w:uiPriority w:val="9"/>
    <w:qFormat/>
    <w:rsid w:val="00A30F99"/>
    <w:pPr>
      <w:keepNext/>
      <w:keepLines/>
      <w:spacing w:line="240" w:lineRule="auto"/>
      <w:outlineLvl w:val="0"/>
    </w:pPr>
    <w:rPr>
      <w:rFonts w:cs="Times New Roman (Headings CS)" w:asciiTheme="majorHAnsi" w:hAnsiTheme="majorHAnsi" w:eastAsiaTheme="majorEastAsia"/>
      <w:caps/>
      <w:color w:val="575355" w:themeColor="accent4" w:themeShade="80"/>
      <w:sz w:val="32"/>
      <w:szCs w:val="32"/>
    </w:rPr>
  </w:style>
  <w:style w:type="paragraph" w:styleId="Heading2">
    <w:name w:val="heading 2"/>
    <w:basedOn w:val="Normal"/>
    <w:next w:val="Normal"/>
    <w:link w:val="Heading2Char"/>
    <w:uiPriority w:val="9"/>
    <w:rsid w:val="00A30F99"/>
    <w:pPr>
      <w:keepNext/>
      <w:keepLines/>
      <w:spacing w:before="160" w:after="80" w:line="240" w:lineRule="auto"/>
      <w:outlineLvl w:val="1"/>
    </w:pPr>
    <w:rPr>
      <w:rFonts w:cs="Times New Roman (Headings CS)" w:asciiTheme="majorHAnsi" w:hAnsiTheme="majorHAnsi" w:eastAsiaTheme="majorEastAsia"/>
      <w:b/>
      <w:caps/>
      <w:color w:val="000000" w:themeColor="text1"/>
      <w:szCs w:val="26"/>
    </w:rPr>
  </w:style>
  <w:style w:type="paragraph" w:styleId="Heading3">
    <w:name w:val="heading 3"/>
    <w:basedOn w:val="Normal"/>
    <w:next w:val="Normal"/>
    <w:link w:val="Heading3Char"/>
    <w:uiPriority w:val="9"/>
    <w:rsid w:val="00A30F99"/>
    <w:pPr>
      <w:spacing w:after="80" w:line="240" w:lineRule="auto"/>
      <w:outlineLvl w:val="2"/>
    </w:pPr>
    <w:rPr>
      <w:rFonts w:asciiTheme="majorHAnsi" w:hAnsiTheme="majorHAnsi"/>
      <w:color w:val="000000" w:themeColor="text1"/>
    </w:rPr>
  </w:style>
  <w:style w:type="paragraph" w:styleId="Heading4">
    <w:name w:val="heading 4"/>
    <w:basedOn w:val="Normal"/>
    <w:next w:val="Normal"/>
    <w:link w:val="Heading4Char"/>
    <w:uiPriority w:val="9"/>
    <w:qFormat/>
    <w:rsid w:val="00CC2921"/>
    <w:pPr>
      <w:spacing w:after="120" w:line="240" w:lineRule="auto"/>
      <w:outlineLvl w:val="3"/>
    </w:pPr>
    <w:rPr>
      <w:rFonts w:asciiTheme="majorHAnsi" w:hAnsiTheme="majorHAnsi"/>
      <w: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1"/>
    <w:qFormat/>
    <w:rsid w:val="00AD79E9"/>
    <w:pPr>
      <w:spacing w:line="192" w:lineRule="auto"/>
      <w:contextualSpacing/>
    </w:pPr>
    <w:rPr>
      <w:rFonts w:cs="Times New Roman (Headings CS)" w:asciiTheme="majorHAnsi" w:hAnsiTheme="majorHAnsi" w:eastAsiaTheme="majorEastAsia"/>
      <w:caps/>
      <w:color w:val="575355" w:themeColor="accent4" w:themeShade="80"/>
      <w:spacing w:val="60"/>
      <w:kern w:val="28"/>
      <w:sz w:val="72"/>
      <w:szCs w:val="56"/>
    </w:rPr>
  </w:style>
  <w:style w:type="character" w:styleId="TitleChar" w:customStyle="1">
    <w:name w:val="Title Char"/>
    <w:basedOn w:val="DefaultParagraphFont"/>
    <w:link w:val="Title"/>
    <w:uiPriority w:val="11"/>
    <w:rsid w:val="00AD79E9"/>
    <w:rPr>
      <w:rFonts w:cs="Times New Roman (Headings CS)" w:asciiTheme="majorHAnsi" w:hAnsiTheme="majorHAnsi" w:eastAsiaTheme="majorEastAsia"/>
      <w:caps/>
      <w:color w:val="575355" w:themeColor="accent4" w:themeShade="80"/>
      <w:spacing w:val="60"/>
      <w:kern w:val="28"/>
      <w:sz w:val="72"/>
      <w:szCs w:val="56"/>
    </w:rPr>
  </w:style>
  <w:style w:type="paragraph" w:styleId="ContactInfo" w:customStyle="1">
    <w:name w:val="Contact Info"/>
    <w:basedOn w:val="Normal"/>
    <w:uiPriority w:val="99"/>
    <w:qFormat/>
    <w:rsid w:val="003F1B98"/>
    <w:pPr>
      <w:spacing w:after="120" w:line="240" w:lineRule="auto"/>
      <w:jc w:val="right"/>
    </w:pPr>
    <w:rPr>
      <w:rFonts w:cs="Times New Roman (Body CS)"/>
      <w:color w:val="000000" w:themeColor="text1"/>
    </w:rPr>
  </w:style>
  <w:style w:type="character" w:styleId="IntenseEmphasis">
    <w:name w:val="Intense Emphasis"/>
    <w:basedOn w:val="DefaultParagraphFont"/>
    <w:uiPriority w:val="99"/>
    <w:semiHidden/>
    <w:rsid w:val="00CE3B09"/>
    <w:rPr>
      <w:b/>
      <w:iCs/>
      <w:color w:val="262626" w:themeColor="text1" w:themeTint="D9"/>
    </w:rPr>
  </w:style>
  <w:style w:type="character" w:styleId="Heading1Char" w:customStyle="1">
    <w:name w:val="Heading 1 Char"/>
    <w:basedOn w:val="DefaultParagraphFont"/>
    <w:link w:val="Heading1"/>
    <w:uiPriority w:val="9"/>
    <w:rsid w:val="00A30F99"/>
    <w:rPr>
      <w:rFonts w:cs="Times New Roman (Headings CS)" w:asciiTheme="majorHAnsi" w:hAnsiTheme="majorHAnsi" w:eastAsiaTheme="majorEastAsia"/>
      <w:caps/>
      <w:color w:val="575355" w:themeColor="accent4" w:themeShade="80"/>
      <w:sz w:val="32"/>
      <w:szCs w:val="32"/>
    </w:rPr>
  </w:style>
  <w:style w:type="character" w:styleId="Heading2Char" w:customStyle="1">
    <w:name w:val="Heading 2 Char"/>
    <w:basedOn w:val="DefaultParagraphFont"/>
    <w:link w:val="Heading2"/>
    <w:uiPriority w:val="9"/>
    <w:rsid w:val="00AD79E9"/>
    <w:rPr>
      <w:rFonts w:cs="Times New Roman (Headings CS)" w:asciiTheme="majorHAnsi" w:hAnsiTheme="majorHAnsi" w:eastAsiaTheme="majorEastAsia"/>
      <w:b/>
      <w:caps/>
      <w:color w:val="000000" w:themeColor="text1"/>
      <w:sz w:val="20"/>
      <w:szCs w:val="26"/>
    </w:rPr>
  </w:style>
  <w:style w:type="character" w:styleId="Heading3Char" w:customStyle="1">
    <w:name w:val="Heading 3 Char"/>
    <w:basedOn w:val="DefaultParagraphFont"/>
    <w:link w:val="Heading3"/>
    <w:uiPriority w:val="9"/>
    <w:rsid w:val="00AD79E9"/>
    <w:rPr>
      <w:rFonts w:asciiTheme="majorHAnsi" w:hAnsiTheme="majorHAnsi"/>
      <w:color w:val="000000" w:themeColor="text1"/>
      <w:sz w:val="20"/>
      <w:szCs w:val="22"/>
    </w:rPr>
  </w:style>
  <w:style w:type="character" w:styleId="Heading4Char" w:customStyle="1">
    <w:name w:val="Heading 4 Char"/>
    <w:basedOn w:val="DefaultParagraphFont"/>
    <w:link w:val="Heading4"/>
    <w:uiPriority w:val="9"/>
    <w:rsid w:val="00CC2921"/>
    <w:rPr>
      <w:rFonts w:asciiTheme="majorHAnsi" w:hAnsiTheme="majorHAnsi"/>
      <w:caps/>
      <w:color w:val="595959" w:themeColor="text1" w:themeTint="A6"/>
      <w:sz w:val="20"/>
      <w:szCs w:val="22"/>
    </w:rPr>
  </w:style>
  <w:style w:type="table" w:styleId="TableGrid">
    <w:name w:val="Table Grid"/>
    <w:basedOn w:val="TableNormal"/>
    <w:uiPriority w:val="39"/>
    <w:rsid w:val="00F92CA8"/>
    <w:pPr>
      <w:contextualSpacing/>
    </w:pPr>
    <w:rPr>
      <w:color w:val="595959" w:themeColor="text1" w:themeTint="A6"/>
      <w:sz w:val="22"/>
      <w:szCs w:val="22"/>
    </w:rPr>
    <w:tblPr>
      <w:tblBorders>
        <w:bottom w:val="single" w:color="ACA8AA" w:themeColor="accent4" w:sz="24" w:space="0"/>
        <w:insideH w:val="single" w:color="ACA8AA" w:themeColor="accent4" w:sz="24" w:space="0"/>
      </w:tblBorders>
    </w:tblPr>
    <w:tcPr>
      <w:tcMar>
        <w:top w:w="216" w:type="dxa"/>
        <w:left w:w="0" w:type="dxa"/>
        <w:bottom w:w="216" w:type="dxa"/>
        <w:right w:w="0" w:type="dxa"/>
      </w:tcMar>
    </w:tcPr>
    <w:tblStylePr w:type="firstRow">
      <w:rPr>
        <w:rFonts w:ascii="Gill Sans MT" w:hAnsi="Gill Sans MT"/>
      </w:rPr>
      <w:tblPr/>
      <w:tcPr>
        <w:tcBorders>
          <w:top w:val="nil"/>
          <w:left w:val="nil"/>
          <w:bottom w:val="single" w:color="auto" w:sz="18" w:space="0"/>
          <w:right w:val="nil"/>
          <w:insideH w:val="nil"/>
          <w:insideV w:val="nil"/>
          <w:tl2br w:val="nil"/>
          <w:tr2bl w:val="nil"/>
        </w:tcBorders>
        <w:vAlign w:val="bottom"/>
      </w:tcPr>
    </w:tblStylePr>
  </w:style>
  <w:style w:type="character" w:styleId="SubtleReference">
    <w:name w:val="Subtle Reference"/>
    <w:aliases w:val="Company &amp; Location"/>
    <w:basedOn w:val="DefaultParagraphFont"/>
    <w:uiPriority w:val="99"/>
    <w:semiHidden/>
    <w:rsid w:val="00CE3B09"/>
    <w:rPr>
      <w:rFonts w:ascii="Gill Sans MT" w:hAnsi="Gill Sans MT"/>
      <w:b w:val="0"/>
      <w:i w:val="0"/>
      <w:caps/>
      <w:smallCaps w:val="0"/>
      <w:vanish w:val="0"/>
      <w:color w:val="000000" w:themeColor="text1"/>
      <w:spacing w:val="10"/>
      <w:sz w:val="20"/>
    </w:rPr>
  </w:style>
  <w:style w:type="character" w:styleId="Hyperlink">
    <w:name w:val="Hyperlink"/>
    <w:basedOn w:val="DefaultParagraphFont"/>
    <w:uiPriority w:val="99"/>
    <w:semiHidden/>
    <w:rsid w:val="00CE3B09"/>
    <w:rPr>
      <w:color w:val="0563C1" w:themeColor="hyperlink"/>
      <w:u w:val="single"/>
    </w:rPr>
  </w:style>
  <w:style w:type="character" w:styleId="UnresolvedMention1" w:customStyle="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qFormat/>
    <w:rsid w:val="00823601"/>
    <w:pPr>
      <w:numPr>
        <w:numId w:val="1"/>
      </w:numPr>
      <w:spacing w:line="240" w:lineRule="auto"/>
    </w:pPr>
  </w:style>
  <w:style w:type="character" w:styleId="PlaceholderText">
    <w:name w:val="Placeholder Text"/>
    <w:basedOn w:val="DefaultParagraphFont"/>
    <w:uiPriority w:val="99"/>
    <w:semiHidden/>
    <w:rsid w:val="00AD79E9"/>
    <w:rPr>
      <w:color w:val="808080"/>
    </w:rPr>
  </w:style>
  <w:style w:type="paragraph" w:styleId="ListParagraph">
    <w:name w:val="List Paragraph"/>
    <w:basedOn w:val="Normal"/>
    <w:uiPriority w:val="34"/>
    <w:semiHidden/>
    <w:rsid w:val="00CC0FFE"/>
    <w:pPr>
      <w:ind w:left="720"/>
      <w:contextualSpacing/>
    </w:pPr>
  </w:style>
  <w:style w:type="numbering" w:styleId="CurrentList1" w:customStyle="1">
    <w:name w:val="Current List1"/>
    <w:uiPriority w:val="99"/>
    <w:rsid w:val="005937B7"/>
    <w:pPr>
      <w:numPr>
        <w:numId w:val="2"/>
      </w:numPr>
    </w:pPr>
  </w:style>
  <w:style w:type="numbering" w:styleId="CurrentList2" w:customStyle="1">
    <w:name w:val="Current List2"/>
    <w:uiPriority w:val="99"/>
    <w:rsid w:val="005937B7"/>
    <w:pPr>
      <w:numPr>
        <w:numId w:val="3"/>
      </w:numPr>
    </w:pPr>
  </w:style>
  <w:style w:type="paragraph" w:styleId="Header">
    <w:name w:val="header"/>
    <w:basedOn w:val="Normal"/>
    <w:link w:val="HeaderChar"/>
    <w:uiPriority w:val="99"/>
    <w:semiHidden/>
    <w:rsid w:val="001D4099"/>
    <w:pPr>
      <w:tabs>
        <w:tab w:val="center" w:pos="4677"/>
        <w:tab w:val="right" w:pos="9355"/>
      </w:tabs>
    </w:pPr>
  </w:style>
  <w:style w:type="character" w:styleId="HeaderChar" w:customStyle="1">
    <w:name w:val="Header Char"/>
    <w:basedOn w:val="DefaultParagraphFont"/>
    <w:link w:val="Header"/>
    <w:uiPriority w:val="99"/>
    <w:semiHidden/>
    <w:rsid w:val="00AD79E9"/>
    <w:rPr>
      <w:rFonts w:ascii="Gill Sans MT" w:hAnsi="Gill Sans MT"/>
      <w:color w:val="404040" w:themeColor="text1" w:themeTint="BF"/>
      <w:sz w:val="20"/>
      <w:szCs w:val="22"/>
    </w:rPr>
  </w:style>
  <w:style w:type="paragraph" w:styleId="Footer">
    <w:name w:val="footer"/>
    <w:basedOn w:val="Normal"/>
    <w:link w:val="FooterChar"/>
    <w:uiPriority w:val="99"/>
    <w:semiHidden/>
    <w:rsid w:val="001D4099"/>
    <w:pPr>
      <w:tabs>
        <w:tab w:val="center" w:pos="4677"/>
        <w:tab w:val="right" w:pos="9355"/>
      </w:tabs>
    </w:pPr>
  </w:style>
  <w:style w:type="character" w:styleId="FooterChar" w:customStyle="1">
    <w:name w:val="Footer Char"/>
    <w:basedOn w:val="DefaultParagraphFont"/>
    <w:link w:val="Footer"/>
    <w:uiPriority w:val="99"/>
    <w:semiHidden/>
    <w:rsid w:val="00AD79E9"/>
    <w:rPr>
      <w:rFonts w:ascii="Gill Sans MT" w:hAnsi="Gill Sans MT"/>
      <w:color w:val="404040" w:themeColor="text1" w:themeTint="BF"/>
      <w:sz w:val="20"/>
      <w:szCs w:val="22"/>
    </w:rPr>
  </w:style>
  <w:style w:type="paragraph" w:styleId="Subtitle">
    <w:name w:val="Subtitle"/>
    <w:basedOn w:val="Normal"/>
    <w:next w:val="Normal"/>
    <w:link w:val="SubtitleChar"/>
    <w:uiPriority w:val="11"/>
    <w:rsid w:val="00AD79E9"/>
    <w:pPr>
      <w:spacing w:line="192" w:lineRule="auto"/>
    </w:pPr>
    <w:rPr>
      <w:caps/>
      <w:color w:val="000000" w:themeColor="text1"/>
      <w:spacing w:val="60"/>
      <w:sz w:val="72"/>
    </w:rPr>
  </w:style>
  <w:style w:type="character" w:styleId="SubtitleChar" w:customStyle="1">
    <w:name w:val="Subtitle Char"/>
    <w:basedOn w:val="DefaultParagraphFont"/>
    <w:link w:val="Subtitle"/>
    <w:uiPriority w:val="11"/>
    <w:rsid w:val="00AD79E9"/>
    <w:rPr>
      <w:rFonts w:ascii="Gill Sans MT" w:hAnsi="Gill Sans MT"/>
      <w:caps/>
      <w:color w:val="000000" w:themeColor="text1"/>
      <w:spacing w:val="60"/>
      <w:sz w:val="7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2.xml" Id="rId10" /><Relationship Type="http://schemas.openxmlformats.org/officeDocument/2006/relationships/webSettings" Target="webSettings.xml" Id="rId4" /><Relationship Type="http://schemas.openxmlformats.org/officeDocument/2006/relationships/customXml" Target="/customXml/item13.xml" Id="rId9" /><Relationship Type="http://schemas.openxmlformats.org/officeDocument/2006/relationships/hyperlink" Target="mailto:ram.samineni66@gmail.com" TargetMode="External" Id="Raf264168d8754a6d" /></Relationships>
</file>

<file path=word/theme/theme11.xml><?xml version="1.0" encoding="utf-8"?>
<a:theme xmlns:a="http://schemas.openxmlformats.org/drawingml/2006/main" xmlns:thm15="http://schemas.microsoft.com/office/thememl/2012/main" name="Office Theme">
  <a:themeElements>
    <a:clrScheme name="Neutral">
      <a:dk1>
        <a:srgbClr val="000000"/>
      </a:dk1>
      <a:lt1>
        <a:srgbClr val="FFFFFF"/>
      </a:lt1>
      <a:dk2>
        <a:srgbClr val="44546A"/>
      </a:dk2>
      <a:lt2>
        <a:srgbClr val="E7E6E6"/>
      </a:lt2>
      <a:accent1>
        <a:srgbClr val="925D34"/>
      </a:accent1>
      <a:accent2>
        <a:srgbClr val="B7834C"/>
      </a:accent2>
      <a:accent3>
        <a:srgbClr val="BC987A"/>
      </a:accent3>
      <a:accent4>
        <a:srgbClr val="ACA8AA"/>
      </a:accent4>
      <a:accent5>
        <a:srgbClr val="D5A97A"/>
      </a:accent5>
      <a:accent6>
        <a:srgbClr val="F5DCC3"/>
      </a:accent6>
      <a:hlink>
        <a:srgbClr val="0563C1"/>
      </a:hlink>
      <a:folHlink>
        <a:srgbClr val="954F72"/>
      </a:folHlink>
    </a:clrScheme>
    <a:fontScheme name="Custom 76">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0FF612B3-BB29-4BCC-8AB6-1140903B2C0B}"/>
</file>

<file path=customXml/itemProps22.xml><?xml version="1.0" encoding="utf-8"?>
<ds:datastoreItem xmlns:ds="http://schemas.openxmlformats.org/officeDocument/2006/customXml" ds:itemID="{79DAB141-C7ED-48DA-BC45-0BE539FBC614}"/>
</file>

<file path=customXml/itemProps31.xml><?xml version="1.0" encoding="utf-8"?>
<ds:datastoreItem xmlns:ds="http://schemas.openxmlformats.org/officeDocument/2006/customXml" ds:itemID="{21268B29-1F97-422A-ACAB-0C0864E14413}"/>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TM22261183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2025-10-02T13:48:43.5984024Z</dcterms:created>
  <dcterms:modified xsi:type="dcterms:W3CDTF">2026-05-20T15:18:43.9266244Z</dcterms:modified>
  <dc:creator>Rithu</dc:creator>
  <lastModifiedBy>Sreelatha nandikanti</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